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8E356" w14:textId="212F204C" w:rsidR="00E15706" w:rsidRPr="00E15706" w:rsidRDefault="000266A8" w:rsidP="00E15706">
      <w:pPr>
        <w:pStyle w:val="Heading1"/>
        <w:spacing w:before="0" w:after="120" w:line="264" w:lineRule="auto"/>
        <w:jc w:val="center"/>
      </w:pPr>
      <w:r>
        <w:t xml:space="preserve">COMPARING </w:t>
      </w:r>
      <w:r w:rsidR="000B5EB3">
        <w:t>THREE</w:t>
      </w:r>
      <w:r>
        <w:t xml:space="preserve"> CAREER DECISION-MAKING MODELS</w:t>
      </w:r>
      <w:r w:rsidR="002B28E3">
        <w:t>:</w:t>
      </w:r>
      <w:r w:rsidR="00D242E0">
        <w:t xml:space="preserve"> </w:t>
      </w:r>
      <w:r>
        <w:t>DECIDES, CASVE AND PIC</w:t>
      </w:r>
    </w:p>
    <w:p w14:paraId="7F5B58FC" w14:textId="77777777" w:rsidR="00D242E0" w:rsidRDefault="00E15706" w:rsidP="00E15706">
      <w:pPr>
        <w:spacing w:after="120" w:line="264" w:lineRule="auto"/>
        <w:jc w:val="center"/>
        <w:outlineLvl w:val="0"/>
        <w:rPr>
          <w:rFonts w:ascii="Arial" w:hAnsi="Arial" w:cs="Arial"/>
          <w:i/>
          <w:sz w:val="20"/>
          <w:szCs w:val="20"/>
          <w:lang w:val="tr-TR"/>
        </w:rPr>
      </w:pPr>
      <w:r w:rsidRPr="00E15706">
        <w:rPr>
          <w:rFonts w:ascii="Arial" w:hAnsi="Arial" w:cs="Arial"/>
          <w:i/>
          <w:sz w:val="20"/>
          <w:szCs w:val="20"/>
          <w:lang w:val="tr-TR"/>
        </w:rPr>
        <w:t>Workshop</w:t>
      </w:r>
      <w:r>
        <w:rPr>
          <w:rFonts w:ascii="Arial" w:hAnsi="Arial" w:cs="Arial"/>
          <w:i/>
          <w:sz w:val="20"/>
          <w:szCs w:val="20"/>
          <w:lang w:val="tr-TR"/>
        </w:rPr>
        <w:t xml:space="preserve"> | </w:t>
      </w:r>
      <w:r w:rsidRPr="00E15706">
        <w:rPr>
          <w:rFonts w:ascii="Arial" w:hAnsi="Arial" w:cs="Arial"/>
          <w:i/>
          <w:sz w:val="20"/>
          <w:szCs w:val="20"/>
          <w:lang w:val="tr-TR"/>
        </w:rPr>
        <w:t>Tupuānuku</w:t>
      </w:r>
      <w:r w:rsidR="00D242E0">
        <w:rPr>
          <w:rFonts w:ascii="Arial" w:hAnsi="Arial" w:cs="Arial"/>
          <w:i/>
          <w:sz w:val="20"/>
          <w:szCs w:val="20"/>
          <w:lang w:val="tr-TR"/>
        </w:rPr>
        <w:t xml:space="preserve"> </w:t>
      </w:r>
    </w:p>
    <w:p w14:paraId="78561EE0" w14:textId="56BBD807" w:rsidR="003009DF" w:rsidRPr="00931672" w:rsidRDefault="00D242E0" w:rsidP="00E15706">
      <w:pPr>
        <w:spacing w:after="120" w:line="264" w:lineRule="auto"/>
        <w:jc w:val="center"/>
        <w:outlineLvl w:val="0"/>
        <w:rPr>
          <w:rFonts w:ascii="Arial" w:hAnsi="Arial" w:cs="Arial"/>
          <w:sz w:val="20"/>
          <w:szCs w:val="20"/>
          <w:lang w:val="tr-TR"/>
        </w:rPr>
      </w:pPr>
      <w:r>
        <w:rPr>
          <w:rFonts w:ascii="Arial" w:hAnsi="Arial" w:cs="Arial"/>
          <w:i/>
          <w:sz w:val="20"/>
          <w:szCs w:val="20"/>
          <w:lang w:val="tr-TR"/>
        </w:rPr>
        <w:t>(Presentation language: New Zealand English</w:t>
      </w:r>
      <w:r w:rsidR="00091322" w:rsidRPr="00931672">
        <w:rPr>
          <w:rFonts w:ascii="Arial" w:hAnsi="Arial" w:cs="Arial"/>
          <w:i/>
          <w:sz w:val="20"/>
          <w:szCs w:val="20"/>
          <w:lang w:val="tr-TR"/>
        </w:rPr>
        <w:t>)</w:t>
      </w:r>
    </w:p>
    <w:p w14:paraId="1AEB5FE7" w14:textId="77777777" w:rsidR="003009DF" w:rsidRPr="00931672" w:rsidRDefault="003009DF" w:rsidP="00E15706">
      <w:pPr>
        <w:spacing w:after="120" w:line="264" w:lineRule="auto"/>
        <w:jc w:val="center"/>
        <w:rPr>
          <w:rFonts w:ascii="Arial" w:hAnsi="Arial" w:cs="Arial"/>
          <w:sz w:val="20"/>
          <w:szCs w:val="20"/>
          <w:lang w:val="tr-TR"/>
        </w:rPr>
      </w:pPr>
    </w:p>
    <w:p w14:paraId="50C9509A" w14:textId="260D7EC2" w:rsidR="000266A8" w:rsidRDefault="008618C1" w:rsidP="00D242E0">
      <w:pPr>
        <w:spacing w:after="120" w:line="264" w:lineRule="auto"/>
        <w:jc w:val="both"/>
        <w:rPr>
          <w:rFonts w:ascii="Calibri" w:hAnsi="Calibri" w:cs="Calibri"/>
          <w:color w:val="000000"/>
        </w:rPr>
      </w:pPr>
      <w:r w:rsidRPr="00931672">
        <w:rPr>
          <w:rFonts w:ascii="Arial" w:hAnsi="Arial" w:cs="Arial"/>
          <w:b/>
          <w:i/>
          <w:color w:val="4F81BD"/>
          <w:sz w:val="20"/>
          <w:szCs w:val="20"/>
          <w:lang w:val="tr-TR"/>
        </w:rPr>
        <w:t>Abstract</w:t>
      </w:r>
      <w:r w:rsidR="00E15706">
        <w:rPr>
          <w:rFonts w:ascii="Arial" w:hAnsi="Arial" w:cs="Arial"/>
          <w:b/>
          <w:i/>
          <w:color w:val="4F81BD"/>
          <w:sz w:val="20"/>
          <w:szCs w:val="20"/>
          <w:lang w:val="tr-TR"/>
        </w:rPr>
        <w:t xml:space="preserve"> Summary</w:t>
      </w:r>
      <w:r w:rsidRPr="00931672">
        <w:rPr>
          <w:rFonts w:ascii="Arial" w:hAnsi="Arial" w:cs="Arial"/>
          <w:b/>
          <w:i/>
          <w:color w:val="4F81BD"/>
          <w:sz w:val="20"/>
          <w:szCs w:val="20"/>
          <w:lang w:val="tr-TR"/>
        </w:rPr>
        <w:t>:</w:t>
      </w:r>
      <w:r w:rsidR="00447F85" w:rsidRPr="00931672">
        <w:rPr>
          <w:rFonts w:ascii="Arial" w:hAnsi="Arial" w:cs="Arial"/>
          <w:b/>
          <w:i/>
          <w:sz w:val="20"/>
          <w:szCs w:val="20"/>
          <w:lang w:val="tr-TR"/>
        </w:rPr>
        <w:t xml:space="preserve"> </w:t>
      </w:r>
      <w:r w:rsidR="000266A8">
        <w:rPr>
          <w:rFonts w:ascii="Calibri" w:hAnsi="Calibri" w:cs="Calibri"/>
          <w:color w:val="000000"/>
        </w:rPr>
        <w:t>This session will briefly outline</w:t>
      </w:r>
      <w:r w:rsidR="00382FE4">
        <w:rPr>
          <w:rFonts w:ascii="Calibri" w:hAnsi="Calibri" w:cs="Calibri"/>
          <w:color w:val="000000"/>
        </w:rPr>
        <w:t xml:space="preserve"> what</w:t>
      </w:r>
      <w:r w:rsidR="000266A8">
        <w:rPr>
          <w:rFonts w:ascii="Calibri" w:hAnsi="Calibri" w:cs="Calibri"/>
          <w:color w:val="000000"/>
        </w:rPr>
        <w:t xml:space="preserve"> career decision-making frameworks</w:t>
      </w:r>
      <w:r w:rsidR="00382FE4">
        <w:rPr>
          <w:rFonts w:ascii="Calibri" w:hAnsi="Calibri" w:cs="Calibri"/>
          <w:color w:val="000000"/>
        </w:rPr>
        <w:t xml:space="preserve"> are</w:t>
      </w:r>
      <w:r w:rsidR="000266A8">
        <w:rPr>
          <w:rFonts w:ascii="Calibri" w:hAnsi="Calibri" w:cs="Calibri"/>
          <w:color w:val="000000"/>
        </w:rPr>
        <w:t xml:space="preserve">, </w:t>
      </w:r>
      <w:r w:rsidR="00382FE4">
        <w:rPr>
          <w:rFonts w:ascii="Calibri" w:hAnsi="Calibri" w:cs="Calibri"/>
          <w:color w:val="000000"/>
        </w:rPr>
        <w:t xml:space="preserve">how they are used, and to </w:t>
      </w:r>
      <w:r w:rsidR="000266A8">
        <w:rPr>
          <w:rFonts w:ascii="Calibri" w:hAnsi="Calibri" w:cs="Calibri"/>
          <w:color w:val="000000"/>
        </w:rPr>
        <w:t>then compare three</w:t>
      </w:r>
      <w:r w:rsidR="00382FE4">
        <w:rPr>
          <w:rFonts w:ascii="Calibri" w:hAnsi="Calibri" w:cs="Calibri"/>
          <w:color w:val="000000"/>
        </w:rPr>
        <w:t xml:space="preserve"> well-established</w:t>
      </w:r>
      <w:r w:rsidR="000266A8">
        <w:rPr>
          <w:rFonts w:ascii="Calibri" w:hAnsi="Calibri" w:cs="Calibri"/>
          <w:color w:val="000000"/>
        </w:rPr>
        <w:t xml:space="preserve"> models</w:t>
      </w:r>
      <w:r w:rsidR="00382FE4">
        <w:rPr>
          <w:rFonts w:ascii="Calibri" w:hAnsi="Calibri" w:cs="Calibri"/>
          <w:color w:val="000000"/>
        </w:rPr>
        <w:t>;</w:t>
      </w:r>
      <w:r w:rsidR="000266A8">
        <w:rPr>
          <w:rFonts w:ascii="Calibri" w:hAnsi="Calibri" w:cs="Calibri"/>
          <w:color w:val="000000"/>
        </w:rPr>
        <w:t xml:space="preserve"> specifically:</w:t>
      </w:r>
    </w:p>
    <w:p w14:paraId="6920232E" w14:textId="6A2B9C28" w:rsidR="000266A8" w:rsidRDefault="00382FE4" w:rsidP="000266A8">
      <w:pPr>
        <w:pStyle w:val="ListParagraph"/>
        <w:numPr>
          <w:ilvl w:val="0"/>
          <w:numId w:val="7"/>
        </w:numPr>
        <w:spacing w:after="120" w:line="264" w:lineRule="auto"/>
        <w:jc w:val="both"/>
        <w:rPr>
          <w:rFonts w:ascii="Calibri" w:hAnsi="Calibri" w:cs="Calibri"/>
          <w:color w:val="000000"/>
        </w:rPr>
      </w:pPr>
      <w:r>
        <w:rPr>
          <w:rFonts w:ascii="Calibri" w:hAnsi="Calibri" w:cs="Calibri"/>
          <w:color w:val="000000"/>
        </w:rPr>
        <w:t xml:space="preserve">The seven step </w:t>
      </w:r>
      <w:r w:rsidR="000266A8">
        <w:rPr>
          <w:rFonts w:ascii="Calibri" w:hAnsi="Calibri" w:cs="Calibri"/>
          <w:color w:val="000000"/>
        </w:rPr>
        <w:t>DECIDES model (</w:t>
      </w:r>
      <w:r>
        <w:rPr>
          <w:rFonts w:ascii="Calibri" w:hAnsi="Calibri" w:cs="Calibri"/>
          <w:color w:val="000000"/>
        </w:rPr>
        <w:t>Krumboltz &amp; Hamel</w:t>
      </w:r>
      <w:r w:rsidR="000266A8">
        <w:rPr>
          <w:rFonts w:ascii="Calibri" w:hAnsi="Calibri" w:cs="Calibri"/>
          <w:color w:val="000000"/>
        </w:rPr>
        <w:t>, 1980)</w:t>
      </w:r>
      <w:r>
        <w:rPr>
          <w:rFonts w:ascii="Calibri" w:hAnsi="Calibri" w:cs="Calibri"/>
          <w:color w:val="000000"/>
        </w:rPr>
        <w:t>. K</w:t>
      </w:r>
      <w:r w:rsidRPr="00382FE4">
        <w:rPr>
          <w:rFonts w:ascii="Calibri" w:hAnsi="Calibri" w:cs="Calibri"/>
          <w:color w:val="000000"/>
        </w:rPr>
        <w:t>nown as Krumboltz's rational decision model</w:t>
      </w:r>
      <w:r>
        <w:rPr>
          <w:rFonts w:ascii="Calibri" w:hAnsi="Calibri" w:cs="Calibri"/>
          <w:color w:val="000000"/>
        </w:rPr>
        <w:t>,</w:t>
      </w:r>
      <w:r w:rsidRPr="00382FE4">
        <w:rPr>
          <w:rFonts w:ascii="Calibri" w:hAnsi="Calibri" w:cs="Calibri"/>
          <w:color w:val="000000"/>
        </w:rPr>
        <w:t xml:space="preserve"> we work systematically through the seven steps </w:t>
      </w:r>
      <w:r>
        <w:rPr>
          <w:rFonts w:ascii="Calibri" w:hAnsi="Calibri" w:cs="Calibri"/>
          <w:color w:val="000000"/>
        </w:rPr>
        <w:t xml:space="preserve">– defining, establishing, clarifying, identifying, discovering, eliminating, and starting - </w:t>
      </w:r>
      <w:r w:rsidRPr="00382FE4">
        <w:rPr>
          <w:rFonts w:ascii="Calibri" w:hAnsi="Calibri" w:cs="Calibri"/>
          <w:color w:val="000000"/>
        </w:rPr>
        <w:t>to aid us in making complex career decisions (Krumboltz &amp; Hamel, 1980)</w:t>
      </w:r>
      <w:r>
        <w:rPr>
          <w:rFonts w:ascii="Calibri" w:hAnsi="Calibri" w:cs="Calibri"/>
          <w:color w:val="000000"/>
        </w:rPr>
        <w:t>.</w:t>
      </w:r>
    </w:p>
    <w:p w14:paraId="60F30EA0" w14:textId="57C49B95" w:rsidR="000266A8" w:rsidRDefault="00382FE4" w:rsidP="000266A8">
      <w:pPr>
        <w:pStyle w:val="ListParagraph"/>
        <w:numPr>
          <w:ilvl w:val="0"/>
          <w:numId w:val="7"/>
        </w:numPr>
        <w:spacing w:after="120" w:line="264" w:lineRule="auto"/>
        <w:jc w:val="both"/>
        <w:rPr>
          <w:rFonts w:ascii="Calibri" w:hAnsi="Calibri" w:cs="Calibri"/>
          <w:color w:val="000000"/>
        </w:rPr>
      </w:pPr>
      <w:r>
        <w:rPr>
          <w:rFonts w:ascii="Calibri" w:hAnsi="Calibri" w:cs="Calibri"/>
          <w:color w:val="000000"/>
        </w:rPr>
        <w:t xml:space="preserve">The </w:t>
      </w:r>
      <w:r w:rsidRPr="00382FE4">
        <w:rPr>
          <w:rFonts w:ascii="Calibri" w:hAnsi="Calibri" w:cs="Calibri"/>
          <w:color w:val="000000"/>
        </w:rPr>
        <w:t xml:space="preserve">five step </w:t>
      </w:r>
      <w:r>
        <w:rPr>
          <w:rFonts w:ascii="Calibri" w:hAnsi="Calibri" w:cs="Calibri"/>
          <w:color w:val="000000"/>
        </w:rPr>
        <w:t>CASVE model ((Peterson et al., 1966). The five steps are</w:t>
      </w:r>
      <w:r w:rsidRPr="00382FE4">
        <w:rPr>
          <w:rFonts w:ascii="Calibri" w:hAnsi="Calibri" w:cs="Calibri"/>
          <w:color w:val="000000"/>
        </w:rPr>
        <w:t>: communication, analysis, synthesis, valuing, and execution</w:t>
      </w:r>
      <w:r>
        <w:rPr>
          <w:rFonts w:ascii="Calibri" w:hAnsi="Calibri" w:cs="Calibri"/>
          <w:color w:val="000000"/>
        </w:rPr>
        <w:t>,</w:t>
      </w:r>
      <w:r w:rsidRPr="00382FE4">
        <w:rPr>
          <w:rFonts w:ascii="Calibri" w:hAnsi="Calibri" w:cs="Calibri"/>
          <w:color w:val="000000"/>
        </w:rPr>
        <w:t xml:space="preserve"> fitting with Cognitive Information Processing (CIP) theory. This is where career choice is seen as a process of problem-solving; effectively closing the 'gap' between not-knowing and knowing (Peterson et al., 1996).</w:t>
      </w:r>
    </w:p>
    <w:p w14:paraId="3EB3B6AA" w14:textId="0CBA0ECD" w:rsidR="00382FE4" w:rsidRPr="000266A8" w:rsidRDefault="00382FE4" w:rsidP="000266A8">
      <w:pPr>
        <w:pStyle w:val="ListParagraph"/>
        <w:numPr>
          <w:ilvl w:val="0"/>
          <w:numId w:val="7"/>
        </w:numPr>
        <w:spacing w:after="120" w:line="264" w:lineRule="auto"/>
        <w:jc w:val="both"/>
        <w:rPr>
          <w:rFonts w:ascii="Calibri" w:hAnsi="Calibri" w:cs="Calibri"/>
          <w:color w:val="000000"/>
        </w:rPr>
      </w:pPr>
      <w:r>
        <w:rPr>
          <w:rFonts w:ascii="Calibri" w:hAnsi="Calibri" w:cs="Calibri"/>
          <w:color w:val="000000"/>
        </w:rPr>
        <w:t xml:space="preserve">The </w:t>
      </w:r>
      <w:r w:rsidRPr="00382FE4">
        <w:rPr>
          <w:rFonts w:ascii="Calibri" w:hAnsi="Calibri" w:cs="Calibri"/>
          <w:color w:val="000000"/>
        </w:rPr>
        <w:t xml:space="preserve">three step </w:t>
      </w:r>
      <w:r>
        <w:rPr>
          <w:rFonts w:ascii="Calibri" w:hAnsi="Calibri" w:cs="Calibri"/>
          <w:color w:val="000000"/>
        </w:rPr>
        <w:t xml:space="preserve">PIC </w:t>
      </w:r>
      <w:r w:rsidRPr="00382FE4">
        <w:rPr>
          <w:rFonts w:ascii="Calibri" w:hAnsi="Calibri" w:cs="Calibri"/>
          <w:color w:val="000000"/>
        </w:rPr>
        <w:t>career decision-making process</w:t>
      </w:r>
      <w:r>
        <w:rPr>
          <w:rFonts w:ascii="Calibri" w:hAnsi="Calibri" w:cs="Calibri"/>
          <w:color w:val="000000"/>
        </w:rPr>
        <w:t xml:space="preserve"> (Gati &amp; Asher, 2001)</w:t>
      </w:r>
      <w:r w:rsidRPr="00382FE4">
        <w:rPr>
          <w:rFonts w:ascii="Calibri" w:hAnsi="Calibri" w:cs="Calibri"/>
          <w:color w:val="000000"/>
        </w:rPr>
        <w:t>. The three steps are pre-screening, in-depth exploration, and choice. Based on decision theory, the framework is designed to help us to be more systematic in working through complex career choices, particularly when there are many alternatives to be evaluated (Gati &amp; Asher, 2001).</w:t>
      </w:r>
    </w:p>
    <w:p w14:paraId="668A209C" w14:textId="4BDB28B9" w:rsidR="00D242E0" w:rsidRPr="006A56D2" w:rsidRDefault="00382FE4" w:rsidP="00D242E0">
      <w:pPr>
        <w:spacing w:after="120" w:line="264" w:lineRule="auto"/>
        <w:jc w:val="both"/>
        <w:rPr>
          <w:rFonts w:ascii="Calibri" w:hAnsi="Calibri" w:cs="Calibri"/>
          <w:color w:val="000000"/>
        </w:rPr>
      </w:pPr>
      <w:r>
        <w:rPr>
          <w:rFonts w:ascii="Calibri" w:hAnsi="Calibri" w:cs="Calibri"/>
          <w:color w:val="000000"/>
        </w:rPr>
        <w:t xml:space="preserve">We will look at similarities and differences across these three constructs. By the end of the session, attendees will know enough to understand </w:t>
      </w:r>
      <w:r w:rsidR="00E056C2">
        <w:rPr>
          <w:rFonts w:ascii="Calibri" w:hAnsi="Calibri" w:cs="Calibri"/>
          <w:color w:val="000000"/>
        </w:rPr>
        <w:t xml:space="preserve">(a) how these frames may be useful in their practice, and (b) </w:t>
      </w:r>
      <w:r>
        <w:rPr>
          <w:rFonts w:ascii="Calibri" w:hAnsi="Calibri" w:cs="Calibri"/>
          <w:color w:val="000000"/>
        </w:rPr>
        <w:t>where they can go for more information</w:t>
      </w:r>
      <w:r w:rsidR="00E056C2">
        <w:rPr>
          <w:rFonts w:ascii="Calibri" w:hAnsi="Calibri" w:cs="Calibri"/>
          <w:color w:val="000000"/>
        </w:rPr>
        <w:t xml:space="preserve"> to expand their understanding</w:t>
      </w:r>
      <w:r>
        <w:rPr>
          <w:rFonts w:ascii="Calibri" w:hAnsi="Calibri" w:cs="Calibri"/>
          <w:color w:val="000000"/>
        </w:rPr>
        <w:t>.</w:t>
      </w:r>
    </w:p>
    <w:p w14:paraId="382899F4" w14:textId="614C8806" w:rsidR="004D3CBB" w:rsidRPr="00931672" w:rsidRDefault="00D242E0" w:rsidP="00E15706">
      <w:pPr>
        <w:spacing w:after="120" w:line="264" w:lineRule="auto"/>
        <w:jc w:val="both"/>
        <w:rPr>
          <w:rFonts w:ascii="Arial" w:hAnsi="Arial" w:cs="Arial"/>
          <w:i/>
          <w:sz w:val="20"/>
          <w:szCs w:val="20"/>
          <w:lang w:val="tr-TR"/>
        </w:rPr>
      </w:pPr>
      <w:r>
        <w:rPr>
          <w:rFonts w:ascii="Arial" w:hAnsi="Arial" w:cs="Arial"/>
          <w:sz w:val="20"/>
          <w:szCs w:val="20"/>
          <w:lang w:val="tr-TR"/>
        </w:rPr>
        <w:t>(2</w:t>
      </w:r>
      <w:r w:rsidR="00780905">
        <w:rPr>
          <w:rFonts w:ascii="Arial" w:hAnsi="Arial" w:cs="Arial"/>
          <w:sz w:val="20"/>
          <w:szCs w:val="20"/>
          <w:lang w:val="tr-TR"/>
        </w:rPr>
        <w:t>18</w:t>
      </w:r>
      <w:r>
        <w:rPr>
          <w:rFonts w:ascii="Arial" w:hAnsi="Arial" w:cs="Arial"/>
          <w:sz w:val="20"/>
          <w:szCs w:val="20"/>
          <w:lang w:val="tr-TR"/>
        </w:rPr>
        <w:t xml:space="preserve"> words)</w:t>
      </w:r>
    </w:p>
    <w:p w14:paraId="08A707CD" w14:textId="77777777" w:rsidR="00244C37" w:rsidRPr="00931672" w:rsidRDefault="00244C37" w:rsidP="00E15706">
      <w:pPr>
        <w:pStyle w:val="Abstracttext"/>
        <w:spacing w:after="120" w:line="264" w:lineRule="auto"/>
        <w:rPr>
          <w:rFonts w:ascii="Arial" w:hAnsi="Arial" w:cs="Arial"/>
          <w:i w:val="0"/>
          <w:lang w:val="tr-TR"/>
        </w:rPr>
      </w:pPr>
    </w:p>
    <w:p w14:paraId="0AE2F501" w14:textId="0AD1BAAE" w:rsidR="00244C37" w:rsidRPr="00931672" w:rsidRDefault="00583225" w:rsidP="00E15706">
      <w:pPr>
        <w:pStyle w:val="BodyText2"/>
        <w:spacing w:line="264" w:lineRule="auto"/>
        <w:jc w:val="both"/>
        <w:outlineLvl w:val="0"/>
        <w:rPr>
          <w:rFonts w:ascii="Arial" w:hAnsi="Arial" w:cs="Arial"/>
          <w:sz w:val="20"/>
          <w:szCs w:val="20"/>
          <w:lang w:val="tr-TR"/>
        </w:rPr>
      </w:pPr>
      <w:r w:rsidRPr="00931672">
        <w:rPr>
          <w:rFonts w:ascii="Arial" w:hAnsi="Arial" w:cs="Arial"/>
          <w:b/>
          <w:i/>
          <w:color w:val="4F81BD"/>
          <w:sz w:val="20"/>
          <w:szCs w:val="20"/>
          <w:lang w:val="tr-TR"/>
        </w:rPr>
        <w:t>Keywords</w:t>
      </w:r>
      <w:r w:rsidR="00244C37" w:rsidRPr="00931672">
        <w:rPr>
          <w:rFonts w:ascii="Arial" w:hAnsi="Arial" w:cs="Arial"/>
          <w:b/>
          <w:color w:val="4F81BD"/>
          <w:sz w:val="20"/>
          <w:szCs w:val="20"/>
          <w:lang w:val="tr-TR"/>
        </w:rPr>
        <w:t>:</w:t>
      </w:r>
      <w:r w:rsidR="00244C37" w:rsidRPr="00931672">
        <w:rPr>
          <w:rFonts w:ascii="Arial" w:hAnsi="Arial" w:cs="Arial"/>
          <w:i/>
          <w:sz w:val="20"/>
          <w:szCs w:val="20"/>
          <w:lang w:val="tr-TR"/>
        </w:rPr>
        <w:t xml:space="preserve"> </w:t>
      </w:r>
      <w:r w:rsidR="000266A8">
        <w:rPr>
          <w:rFonts w:ascii="Arial" w:hAnsi="Arial" w:cs="Arial"/>
          <w:i/>
          <w:sz w:val="20"/>
          <w:szCs w:val="20"/>
          <w:lang w:val="tr-TR"/>
        </w:rPr>
        <w:t>PIC</w:t>
      </w:r>
      <w:r w:rsidR="00D242E0">
        <w:rPr>
          <w:rFonts w:ascii="Arial" w:hAnsi="Arial" w:cs="Arial"/>
          <w:i/>
          <w:sz w:val="20"/>
          <w:szCs w:val="20"/>
          <w:lang w:val="tr-TR"/>
        </w:rPr>
        <w:t xml:space="preserve">, </w:t>
      </w:r>
      <w:r w:rsidR="000266A8">
        <w:rPr>
          <w:rFonts w:ascii="Arial" w:hAnsi="Arial" w:cs="Arial"/>
          <w:i/>
          <w:sz w:val="20"/>
          <w:szCs w:val="20"/>
          <w:lang w:val="tr-TR"/>
        </w:rPr>
        <w:t>DECIDES</w:t>
      </w:r>
      <w:r w:rsidR="00D242E0">
        <w:rPr>
          <w:rFonts w:ascii="Arial" w:hAnsi="Arial" w:cs="Arial"/>
          <w:i/>
          <w:sz w:val="20"/>
          <w:szCs w:val="20"/>
          <w:lang w:val="tr-TR"/>
        </w:rPr>
        <w:t xml:space="preserve">, </w:t>
      </w:r>
      <w:r w:rsidR="000266A8">
        <w:rPr>
          <w:rFonts w:ascii="Arial" w:hAnsi="Arial" w:cs="Arial"/>
          <w:i/>
          <w:sz w:val="20"/>
          <w:szCs w:val="20"/>
          <w:lang w:val="tr-TR"/>
        </w:rPr>
        <w:t>CASVE</w:t>
      </w:r>
      <w:r w:rsidR="00D242E0">
        <w:rPr>
          <w:rFonts w:ascii="Arial" w:hAnsi="Arial" w:cs="Arial"/>
          <w:i/>
          <w:sz w:val="20"/>
          <w:szCs w:val="20"/>
          <w:lang w:val="tr-TR"/>
        </w:rPr>
        <w:t xml:space="preserve">, </w:t>
      </w:r>
      <w:r w:rsidR="000266A8">
        <w:rPr>
          <w:rFonts w:ascii="Arial" w:hAnsi="Arial" w:cs="Arial"/>
          <w:i/>
          <w:sz w:val="20"/>
          <w:szCs w:val="20"/>
          <w:lang w:val="tr-TR"/>
        </w:rPr>
        <w:t>model</w:t>
      </w:r>
      <w:r w:rsidR="002B28E3">
        <w:rPr>
          <w:rFonts w:ascii="Arial" w:hAnsi="Arial" w:cs="Arial"/>
          <w:i/>
          <w:sz w:val="20"/>
          <w:szCs w:val="20"/>
          <w:lang w:val="tr-TR"/>
        </w:rPr>
        <w:t xml:space="preserve">, </w:t>
      </w:r>
      <w:r w:rsidR="000266A8">
        <w:rPr>
          <w:rFonts w:ascii="Arial" w:hAnsi="Arial" w:cs="Arial"/>
          <w:i/>
          <w:sz w:val="20"/>
          <w:szCs w:val="20"/>
          <w:lang w:val="tr-TR"/>
        </w:rPr>
        <w:t>decision-making</w:t>
      </w:r>
      <w:r w:rsidR="0047632C" w:rsidRPr="00931672">
        <w:rPr>
          <w:rFonts w:ascii="Arial" w:hAnsi="Arial" w:cs="Arial"/>
          <w:sz w:val="20"/>
          <w:szCs w:val="20"/>
          <w:lang w:val="tr-TR"/>
        </w:rPr>
        <w:t xml:space="preserve">. </w:t>
      </w:r>
    </w:p>
    <w:p w14:paraId="3FDDDD50" w14:textId="77777777" w:rsidR="00CD6C42" w:rsidRPr="00931672" w:rsidRDefault="00CD6C42" w:rsidP="00E15706">
      <w:pPr>
        <w:pStyle w:val="BodyText2"/>
        <w:spacing w:line="264" w:lineRule="auto"/>
        <w:jc w:val="both"/>
        <w:rPr>
          <w:rFonts w:ascii="Arial" w:hAnsi="Arial" w:cs="Arial"/>
          <w:b/>
          <w:color w:val="4F81BD"/>
          <w:sz w:val="20"/>
          <w:szCs w:val="20"/>
          <w:lang w:val="tr-TR"/>
        </w:rPr>
      </w:pPr>
    </w:p>
    <w:p w14:paraId="1FA9E541" w14:textId="44C1F535" w:rsidR="00A60311" w:rsidRPr="00931672" w:rsidRDefault="00E67BC2" w:rsidP="00E15706">
      <w:pPr>
        <w:pStyle w:val="Heading1"/>
        <w:spacing w:before="0" w:after="120" w:line="264" w:lineRule="auto"/>
        <w:rPr>
          <w:rFonts w:ascii="Arial" w:hAnsi="Arial" w:cs="Arial"/>
          <w:sz w:val="20"/>
          <w:szCs w:val="20"/>
          <w:lang w:val="tr-TR"/>
        </w:rPr>
      </w:pPr>
      <w:r w:rsidRPr="00931672">
        <w:rPr>
          <w:rFonts w:ascii="Arial" w:hAnsi="Arial" w:cs="Arial"/>
          <w:sz w:val="20"/>
          <w:szCs w:val="20"/>
          <w:lang w:val="tr-TR"/>
        </w:rPr>
        <w:t>INTRODUCTION</w:t>
      </w:r>
      <w:r w:rsidR="00A60311" w:rsidRPr="00931672">
        <w:rPr>
          <w:rFonts w:ascii="Arial" w:hAnsi="Arial" w:cs="Arial"/>
          <w:sz w:val="20"/>
          <w:szCs w:val="20"/>
          <w:lang w:val="tr-TR"/>
        </w:rPr>
        <w:t xml:space="preserve"> </w:t>
      </w:r>
    </w:p>
    <w:p w14:paraId="53CCC17C" w14:textId="0B8AA59E" w:rsidR="006E7CBA" w:rsidRPr="0086556E" w:rsidRDefault="000266A8" w:rsidP="0086556E">
      <w:pPr>
        <w:spacing w:after="120" w:line="264" w:lineRule="auto"/>
        <w:jc w:val="both"/>
        <w:rPr>
          <w:rFonts w:ascii="Calibri" w:hAnsi="Calibri" w:cs="Calibri"/>
          <w:color w:val="000000"/>
        </w:rPr>
      </w:pPr>
      <w:r>
        <w:rPr>
          <w:rFonts w:ascii="Calibri" w:hAnsi="Calibri" w:cs="Calibri"/>
          <w:color w:val="000000"/>
        </w:rPr>
        <w:t>As practitioners, are we aware of the process we use when helping a client work through a decision-making process? Are we aware of what decision-making processes there are? Have we taken the time to explore any models at all? This is particularly important, particular when so many of us have entered career development from another field (</w:t>
      </w:r>
      <w:r w:rsidR="00E056C2">
        <w:rPr>
          <w:rFonts w:ascii="Calibri" w:hAnsi="Calibri" w:cs="Calibri"/>
          <w:color w:val="000000"/>
        </w:rPr>
        <w:t>O’Reilly, 2018</w:t>
      </w:r>
      <w:r>
        <w:rPr>
          <w:rFonts w:ascii="Calibri" w:hAnsi="Calibri" w:cs="Calibri"/>
          <w:color w:val="000000"/>
        </w:rPr>
        <w:t>)</w:t>
      </w:r>
      <w:r w:rsidR="0086556E" w:rsidRPr="0086556E">
        <w:rPr>
          <w:rFonts w:ascii="Calibri" w:hAnsi="Calibri" w:cs="Calibri"/>
          <w:color w:val="000000"/>
        </w:rPr>
        <w:t>.</w:t>
      </w:r>
      <w:r w:rsidR="00E056C2">
        <w:rPr>
          <w:rFonts w:ascii="Calibri" w:hAnsi="Calibri" w:cs="Calibri"/>
          <w:color w:val="000000"/>
        </w:rPr>
        <w:t xml:space="preserve"> </w:t>
      </w:r>
      <w:r w:rsidR="00E056C2" w:rsidRPr="00E056C2">
        <w:rPr>
          <w:rFonts w:ascii="Calibri" w:hAnsi="Calibri" w:cs="Calibri"/>
          <w:color w:val="000000"/>
        </w:rPr>
        <w:t xml:space="preserve">Australian practitioners arrive into the career development field largely without formal career development training, somewhat similar to practitioners in Aotearoa (O’Reilly, 2018), from “a range of pathways [via…] backgrounds in education, psychology, […] and social work” (Commonwealth </w:t>
      </w:r>
      <w:r w:rsidR="00E056C2">
        <w:rPr>
          <w:rFonts w:ascii="Calibri" w:hAnsi="Calibri" w:cs="Calibri"/>
          <w:color w:val="000000"/>
        </w:rPr>
        <w:t xml:space="preserve">Government </w:t>
      </w:r>
      <w:r w:rsidR="00E056C2" w:rsidRPr="00E056C2">
        <w:rPr>
          <w:rFonts w:ascii="Calibri" w:hAnsi="Calibri" w:cs="Calibri"/>
          <w:color w:val="000000"/>
        </w:rPr>
        <w:t>of Australia, 2002, p. 106, citing Patton, 2001).</w:t>
      </w:r>
    </w:p>
    <w:p w14:paraId="712787D6" w14:textId="77777777" w:rsidR="006E7CBA" w:rsidRPr="00F642FA" w:rsidRDefault="006E7CBA" w:rsidP="00E15706">
      <w:pPr>
        <w:pStyle w:val="PlainText"/>
        <w:shd w:val="solid" w:color="FFFFFF" w:fill="FFFFFF"/>
        <w:spacing w:after="120" w:line="264" w:lineRule="auto"/>
        <w:jc w:val="both"/>
        <w:rPr>
          <w:rFonts w:ascii="Arial" w:hAnsi="Arial" w:cs="Arial"/>
        </w:rPr>
      </w:pPr>
    </w:p>
    <w:p w14:paraId="14931C20" w14:textId="4C5265DE" w:rsidR="00E74E7B" w:rsidRPr="00931672" w:rsidRDefault="002B28E3" w:rsidP="00E15706">
      <w:pPr>
        <w:pStyle w:val="Heading1"/>
        <w:spacing w:before="0" w:after="120" w:line="264" w:lineRule="auto"/>
        <w:rPr>
          <w:rFonts w:ascii="Arial" w:hAnsi="Arial" w:cs="Arial"/>
          <w:sz w:val="20"/>
          <w:szCs w:val="20"/>
          <w:lang w:val="tr-TR"/>
        </w:rPr>
      </w:pPr>
      <w:r>
        <w:rPr>
          <w:rFonts w:ascii="Arial" w:hAnsi="Arial" w:cs="Arial"/>
          <w:sz w:val="20"/>
          <w:szCs w:val="20"/>
          <w:lang w:val="tr-TR"/>
        </w:rPr>
        <w:lastRenderedPageBreak/>
        <w:t>OBJECTIVES</w:t>
      </w:r>
    </w:p>
    <w:p w14:paraId="6AAAA302" w14:textId="2CE96438" w:rsidR="00E74E7B" w:rsidRPr="00E056C2" w:rsidRDefault="001200C3" w:rsidP="00E056C2">
      <w:pPr>
        <w:spacing w:after="120" w:line="264" w:lineRule="auto"/>
        <w:jc w:val="both"/>
        <w:rPr>
          <w:rFonts w:ascii="Calibri" w:hAnsi="Calibri" w:cs="Calibri"/>
          <w:color w:val="000000"/>
        </w:rPr>
      </w:pPr>
      <w:r w:rsidRPr="00E056C2">
        <w:rPr>
          <w:rFonts w:ascii="Calibri" w:hAnsi="Calibri" w:cs="Calibri"/>
          <w:color w:val="000000"/>
        </w:rPr>
        <w:t xml:space="preserve">The workshop aims to </w:t>
      </w:r>
      <w:r w:rsidR="00E056C2" w:rsidRPr="00E056C2">
        <w:rPr>
          <w:rFonts w:ascii="Calibri" w:hAnsi="Calibri" w:cs="Calibri"/>
          <w:color w:val="000000"/>
        </w:rPr>
        <w:t>give</w:t>
      </w:r>
      <w:r w:rsidRPr="00E056C2">
        <w:rPr>
          <w:rFonts w:ascii="Calibri" w:hAnsi="Calibri" w:cs="Calibri"/>
          <w:color w:val="000000"/>
        </w:rPr>
        <w:t xml:space="preserve"> </w:t>
      </w:r>
      <w:r w:rsidR="0086556E" w:rsidRPr="00E056C2">
        <w:rPr>
          <w:rFonts w:ascii="Calibri" w:hAnsi="Calibri" w:cs="Calibri"/>
          <w:color w:val="000000"/>
        </w:rPr>
        <w:t>career educators</w:t>
      </w:r>
      <w:r w:rsidRPr="00E056C2">
        <w:rPr>
          <w:rFonts w:ascii="Calibri" w:hAnsi="Calibri" w:cs="Calibri"/>
          <w:color w:val="000000"/>
        </w:rPr>
        <w:t xml:space="preserve"> </w:t>
      </w:r>
      <w:r w:rsidR="00E056C2" w:rsidRPr="00E056C2">
        <w:rPr>
          <w:rFonts w:ascii="Calibri" w:hAnsi="Calibri" w:cs="Calibri"/>
          <w:color w:val="000000"/>
        </w:rPr>
        <w:t xml:space="preserve">an overview of decision-making tools </w:t>
      </w:r>
      <w:r w:rsidR="00E056C2">
        <w:rPr>
          <w:rFonts w:ascii="Calibri" w:hAnsi="Calibri" w:cs="Calibri"/>
          <w:color w:val="000000"/>
        </w:rPr>
        <w:t>to allow later PD self-discovery and application of these or similar frames within their own practice</w:t>
      </w:r>
      <w:r w:rsidR="00263548" w:rsidRPr="00E056C2">
        <w:rPr>
          <w:rFonts w:ascii="Calibri" w:hAnsi="Calibri" w:cs="Calibri"/>
          <w:color w:val="000000"/>
        </w:rPr>
        <w:t>.</w:t>
      </w:r>
      <w:r w:rsidR="00885C0A" w:rsidRPr="00E056C2">
        <w:rPr>
          <w:rFonts w:ascii="Calibri" w:hAnsi="Calibri" w:cs="Calibri"/>
          <w:color w:val="000000"/>
        </w:rPr>
        <w:t xml:space="preserve"> </w:t>
      </w:r>
      <w:r w:rsidR="00E74E7B" w:rsidRPr="00E056C2">
        <w:rPr>
          <w:rFonts w:ascii="Calibri" w:hAnsi="Calibri" w:cs="Calibri"/>
          <w:color w:val="000000"/>
        </w:rPr>
        <w:t xml:space="preserve"> </w:t>
      </w:r>
    </w:p>
    <w:p w14:paraId="2F3C6416" w14:textId="77777777" w:rsidR="00E74E7B" w:rsidRPr="00931672" w:rsidRDefault="00E74E7B" w:rsidP="00E15706">
      <w:pPr>
        <w:pStyle w:val="BodyText2"/>
        <w:spacing w:line="264" w:lineRule="auto"/>
        <w:ind w:left="284"/>
        <w:jc w:val="both"/>
        <w:rPr>
          <w:rFonts w:ascii="Arial" w:hAnsi="Arial" w:cs="Arial"/>
          <w:b/>
          <w:color w:val="4F81BD"/>
          <w:sz w:val="20"/>
          <w:szCs w:val="20"/>
          <w:lang w:val="tr-TR"/>
        </w:rPr>
      </w:pPr>
    </w:p>
    <w:p w14:paraId="3AD86A19" w14:textId="0603E04F" w:rsidR="00E74E7B" w:rsidRPr="00931672" w:rsidRDefault="002B28E3" w:rsidP="00E15706">
      <w:pPr>
        <w:pStyle w:val="Heading1"/>
        <w:spacing w:before="0" w:after="120" w:line="264" w:lineRule="auto"/>
        <w:rPr>
          <w:rFonts w:ascii="Arial" w:hAnsi="Arial" w:cs="Arial"/>
          <w:sz w:val="20"/>
          <w:szCs w:val="20"/>
          <w:lang w:val="tr-TR"/>
        </w:rPr>
      </w:pPr>
      <w:r>
        <w:rPr>
          <w:rFonts w:ascii="Arial" w:hAnsi="Arial" w:cs="Arial"/>
          <w:sz w:val="20"/>
          <w:szCs w:val="20"/>
          <w:lang w:val="tr-TR"/>
        </w:rPr>
        <w:t>THEORETICAL BASIS</w:t>
      </w:r>
    </w:p>
    <w:p w14:paraId="1B6B0D36" w14:textId="5F86008D" w:rsidR="008945B7" w:rsidRPr="001200C3" w:rsidRDefault="00E056C2" w:rsidP="001200C3">
      <w:pPr>
        <w:spacing w:after="120" w:line="264" w:lineRule="auto"/>
        <w:jc w:val="both"/>
        <w:rPr>
          <w:rFonts w:ascii="Calibri" w:hAnsi="Calibri" w:cs="Calibri"/>
          <w:color w:val="000000"/>
        </w:rPr>
      </w:pPr>
      <w:r>
        <w:rPr>
          <w:rFonts w:ascii="Calibri" w:hAnsi="Calibri" w:cs="Calibri"/>
          <w:color w:val="000000"/>
        </w:rPr>
        <w:t xml:space="preserve">This workshop is a sharing of the presenter’s practitioner ideas, underpinned by the naïve inquirer (Good, 1986; </w:t>
      </w:r>
      <w:r w:rsidRPr="00E056C2">
        <w:rPr>
          <w:rFonts w:ascii="Calibri" w:hAnsi="Calibri" w:cs="Calibri"/>
          <w:color w:val="000000"/>
        </w:rPr>
        <w:t>Taket &amp; White, 2000</w:t>
      </w:r>
      <w:r>
        <w:rPr>
          <w:rFonts w:ascii="Calibri" w:hAnsi="Calibri" w:cs="Calibri"/>
          <w:color w:val="000000"/>
        </w:rPr>
        <w:t xml:space="preserve">), exploring the frames of the three model authors: </w:t>
      </w:r>
      <w:r w:rsidRPr="00E056C2">
        <w:rPr>
          <w:rFonts w:ascii="Calibri" w:hAnsi="Calibri" w:cs="Calibri"/>
          <w:color w:val="000000"/>
        </w:rPr>
        <w:t>DECIDES (Krumboltz &amp; Hamel, 1980), CASVE (Peterson et al., 1996), and PIC (Gati &amp; Asher, 2001</w:t>
      </w:r>
      <w:r>
        <w:rPr>
          <w:rFonts w:ascii="Calibri" w:hAnsi="Calibri" w:cs="Calibri"/>
          <w:color w:val="000000"/>
        </w:rPr>
        <w:t>).</w:t>
      </w:r>
    </w:p>
    <w:p w14:paraId="74E69912" w14:textId="77777777" w:rsidR="00CD6C42" w:rsidRPr="00931672" w:rsidRDefault="00CD6C42" w:rsidP="00E15706">
      <w:pPr>
        <w:pStyle w:val="BodyText2"/>
        <w:spacing w:line="264" w:lineRule="auto"/>
        <w:jc w:val="both"/>
        <w:rPr>
          <w:rFonts w:ascii="Arial" w:hAnsi="Arial" w:cs="Arial"/>
          <w:b/>
          <w:color w:val="4F81BD"/>
          <w:sz w:val="20"/>
          <w:szCs w:val="20"/>
          <w:lang w:val="tr-TR"/>
        </w:rPr>
      </w:pPr>
    </w:p>
    <w:p w14:paraId="4D8B3A2E" w14:textId="04D110C2" w:rsidR="00CD6C42" w:rsidRPr="00931672" w:rsidRDefault="002B28E3" w:rsidP="00E15706">
      <w:pPr>
        <w:pStyle w:val="Heading1"/>
        <w:spacing w:before="0" w:after="120" w:line="264" w:lineRule="auto"/>
        <w:rPr>
          <w:rFonts w:ascii="Arial" w:hAnsi="Arial" w:cs="Arial"/>
          <w:i/>
          <w:sz w:val="20"/>
          <w:szCs w:val="20"/>
          <w:lang w:val="tr-TR"/>
        </w:rPr>
      </w:pPr>
      <w:r>
        <w:rPr>
          <w:rFonts w:ascii="Arial" w:hAnsi="Arial" w:cs="Arial"/>
          <w:sz w:val="20"/>
          <w:szCs w:val="20"/>
          <w:lang w:val="tr-TR"/>
        </w:rPr>
        <w:t>METHODOLOGY</w:t>
      </w:r>
    </w:p>
    <w:p w14:paraId="7143CD40" w14:textId="2ED1B79A" w:rsidR="00CD6C42" w:rsidRPr="001200C3" w:rsidRDefault="001200C3" w:rsidP="001200C3">
      <w:pPr>
        <w:spacing w:after="120" w:line="264" w:lineRule="auto"/>
        <w:jc w:val="both"/>
        <w:rPr>
          <w:rFonts w:ascii="Calibri" w:hAnsi="Calibri" w:cs="Calibri"/>
          <w:color w:val="000000"/>
        </w:rPr>
      </w:pPr>
      <w:r w:rsidRPr="001200C3">
        <w:rPr>
          <w:rFonts w:ascii="Calibri" w:hAnsi="Calibri" w:cs="Calibri"/>
          <w:color w:val="000000"/>
        </w:rPr>
        <w:t xml:space="preserve">A narrative literature review of </w:t>
      </w:r>
      <w:r w:rsidR="00780905">
        <w:rPr>
          <w:rFonts w:ascii="Calibri" w:hAnsi="Calibri" w:cs="Calibri"/>
          <w:color w:val="000000"/>
        </w:rPr>
        <w:t>career decision-making models and their use</w:t>
      </w:r>
      <w:r w:rsidRPr="001200C3">
        <w:rPr>
          <w:rFonts w:ascii="Calibri" w:hAnsi="Calibri" w:cs="Calibri"/>
          <w:color w:val="000000"/>
        </w:rPr>
        <w:t xml:space="preserve">, followed by </w:t>
      </w:r>
      <w:r w:rsidR="00780905">
        <w:rPr>
          <w:rFonts w:ascii="Calibri" w:hAnsi="Calibri" w:cs="Calibri"/>
          <w:color w:val="000000"/>
        </w:rPr>
        <w:t xml:space="preserve">a narrative review of how it is intended that the three selected models are to be used. Then we will discuss </w:t>
      </w:r>
      <w:r w:rsidRPr="001200C3">
        <w:rPr>
          <w:rFonts w:ascii="Calibri" w:hAnsi="Calibri" w:cs="Calibri"/>
          <w:color w:val="000000"/>
        </w:rPr>
        <w:t xml:space="preserve">the presenter’s own </w:t>
      </w:r>
      <w:r w:rsidR="00780905">
        <w:rPr>
          <w:rFonts w:ascii="Calibri" w:hAnsi="Calibri" w:cs="Calibri"/>
          <w:color w:val="000000"/>
        </w:rPr>
        <w:t>analysis of similarities and differences between the three models, alongside audience experiences</w:t>
      </w:r>
      <w:r w:rsidR="000B5EB3">
        <w:rPr>
          <w:rFonts w:ascii="Calibri" w:hAnsi="Calibri" w:cs="Calibri"/>
          <w:color w:val="000000"/>
        </w:rPr>
        <w:t>, and then consider what resources there are for our continued professional development in this area</w:t>
      </w:r>
      <w:r w:rsidRPr="001200C3">
        <w:rPr>
          <w:rFonts w:ascii="Calibri" w:hAnsi="Calibri" w:cs="Calibri"/>
          <w:color w:val="000000"/>
        </w:rPr>
        <w:t xml:space="preserve">. </w:t>
      </w:r>
    </w:p>
    <w:p w14:paraId="49F3900A" w14:textId="77777777" w:rsidR="002B28E3" w:rsidRPr="001200C3" w:rsidRDefault="002B28E3" w:rsidP="001200C3">
      <w:pPr>
        <w:spacing w:after="120" w:line="264" w:lineRule="auto"/>
        <w:jc w:val="both"/>
        <w:rPr>
          <w:rFonts w:ascii="Calibri" w:hAnsi="Calibri" w:cs="Calibri"/>
          <w:color w:val="000000"/>
        </w:rPr>
      </w:pPr>
    </w:p>
    <w:p w14:paraId="7C030EE9" w14:textId="2A733229" w:rsidR="002B28E3" w:rsidRPr="00931672" w:rsidRDefault="002B28E3" w:rsidP="002B28E3">
      <w:pPr>
        <w:pStyle w:val="Heading1"/>
        <w:spacing w:before="0" w:after="120" w:line="264" w:lineRule="auto"/>
        <w:rPr>
          <w:rFonts w:ascii="Arial" w:hAnsi="Arial" w:cs="Arial"/>
          <w:i/>
          <w:sz w:val="20"/>
          <w:szCs w:val="20"/>
          <w:lang w:val="tr-TR"/>
        </w:rPr>
      </w:pPr>
      <w:r>
        <w:rPr>
          <w:rFonts w:ascii="Arial" w:hAnsi="Arial" w:cs="Arial"/>
          <w:sz w:val="20"/>
          <w:szCs w:val="20"/>
          <w:lang w:val="tr-TR"/>
        </w:rPr>
        <w:t>RESULTS</w:t>
      </w:r>
    </w:p>
    <w:p w14:paraId="67F462AA" w14:textId="0BFB7E51" w:rsidR="002B28E3" w:rsidRPr="007A2ACC" w:rsidRDefault="001200C3" w:rsidP="007A2ACC">
      <w:pPr>
        <w:spacing w:after="120" w:line="264" w:lineRule="auto"/>
        <w:jc w:val="both"/>
        <w:rPr>
          <w:rFonts w:ascii="Calibri" w:hAnsi="Calibri" w:cs="Calibri"/>
          <w:color w:val="000000"/>
        </w:rPr>
      </w:pPr>
      <w:r w:rsidRPr="005522F0">
        <w:rPr>
          <w:rFonts w:ascii="Calibri" w:hAnsi="Calibri" w:cs="Calibri"/>
          <w:color w:val="000000"/>
        </w:rPr>
        <w:t xml:space="preserve">The workshop </w:t>
      </w:r>
      <w:r w:rsidR="005522F0">
        <w:rPr>
          <w:rFonts w:ascii="Calibri" w:hAnsi="Calibri" w:cs="Calibri"/>
          <w:color w:val="000000"/>
        </w:rPr>
        <w:t xml:space="preserve">will </w:t>
      </w:r>
      <w:r>
        <w:rPr>
          <w:rFonts w:ascii="Calibri" w:hAnsi="Calibri" w:cs="Calibri"/>
          <w:color w:val="000000"/>
        </w:rPr>
        <w:t>(a) explor</w:t>
      </w:r>
      <w:r w:rsidR="00780905">
        <w:rPr>
          <w:rFonts w:ascii="Calibri" w:hAnsi="Calibri" w:cs="Calibri"/>
          <w:color w:val="000000"/>
        </w:rPr>
        <w:t>e</w:t>
      </w:r>
      <w:r>
        <w:rPr>
          <w:rFonts w:ascii="Calibri" w:hAnsi="Calibri" w:cs="Calibri"/>
          <w:color w:val="000000"/>
        </w:rPr>
        <w:t xml:space="preserve"> </w:t>
      </w:r>
      <w:r w:rsidR="00780905">
        <w:rPr>
          <w:rFonts w:ascii="Calibri" w:hAnsi="Calibri" w:cs="Calibri"/>
          <w:color w:val="000000"/>
        </w:rPr>
        <w:t>how decision-making models or processes can assist our practice</w:t>
      </w:r>
      <w:r>
        <w:rPr>
          <w:rFonts w:ascii="Calibri" w:hAnsi="Calibri" w:cs="Calibri"/>
          <w:color w:val="000000"/>
        </w:rPr>
        <w:t>; (b)</w:t>
      </w:r>
      <w:r w:rsidR="00780905">
        <w:rPr>
          <w:rFonts w:ascii="Calibri" w:hAnsi="Calibri" w:cs="Calibri"/>
          <w:color w:val="000000"/>
        </w:rPr>
        <w:t xml:space="preserve"> </w:t>
      </w:r>
      <w:r w:rsidR="000B5EB3">
        <w:rPr>
          <w:rFonts w:ascii="Calibri" w:hAnsi="Calibri" w:cs="Calibri"/>
          <w:color w:val="000000"/>
        </w:rPr>
        <w:t>have an understanding of what each model encompasses</w:t>
      </w:r>
      <w:r>
        <w:rPr>
          <w:rFonts w:ascii="Calibri" w:hAnsi="Calibri" w:cs="Calibri"/>
          <w:color w:val="000000"/>
        </w:rPr>
        <w:t xml:space="preserve">; (c) </w:t>
      </w:r>
      <w:r w:rsidR="000B5EB3">
        <w:rPr>
          <w:rFonts w:ascii="Calibri" w:hAnsi="Calibri" w:cs="Calibri"/>
          <w:color w:val="000000"/>
        </w:rPr>
        <w:t>be able to consider the use of models within our own practice</w:t>
      </w:r>
      <w:r>
        <w:rPr>
          <w:rFonts w:ascii="Calibri" w:hAnsi="Calibri" w:cs="Calibri"/>
          <w:color w:val="000000"/>
        </w:rPr>
        <w:t xml:space="preserve">; and (e) </w:t>
      </w:r>
      <w:r w:rsidR="000B5EB3">
        <w:rPr>
          <w:rFonts w:ascii="Calibri" w:hAnsi="Calibri" w:cs="Calibri"/>
          <w:color w:val="000000"/>
        </w:rPr>
        <w:t>know where to go to gain more information</w:t>
      </w:r>
      <w:r w:rsidRPr="005522F0">
        <w:rPr>
          <w:rFonts w:ascii="Calibri" w:hAnsi="Calibri" w:cs="Calibri"/>
          <w:color w:val="000000"/>
        </w:rPr>
        <w:t>.</w:t>
      </w:r>
      <w:r w:rsidR="007A2ACC">
        <w:rPr>
          <w:rFonts w:ascii="Calibri" w:hAnsi="Calibri" w:cs="Calibri"/>
          <w:color w:val="000000"/>
        </w:rPr>
        <w:t xml:space="preserve"> </w:t>
      </w:r>
    </w:p>
    <w:p w14:paraId="0E30AA54" w14:textId="294F9F1E" w:rsidR="002B28E3" w:rsidRDefault="002B28E3" w:rsidP="00E15706">
      <w:pPr>
        <w:spacing w:after="120" w:line="264" w:lineRule="auto"/>
        <w:rPr>
          <w:rFonts w:ascii="Arial" w:hAnsi="Arial" w:cs="Arial"/>
          <w:sz w:val="20"/>
          <w:szCs w:val="20"/>
        </w:rPr>
      </w:pPr>
    </w:p>
    <w:p w14:paraId="582B8458" w14:textId="2E2698DB" w:rsidR="002B28E3" w:rsidRPr="00931672" w:rsidRDefault="002B28E3" w:rsidP="002B28E3">
      <w:pPr>
        <w:pStyle w:val="Heading1"/>
        <w:spacing w:before="0" w:after="120" w:line="264" w:lineRule="auto"/>
        <w:rPr>
          <w:rFonts w:ascii="Arial" w:hAnsi="Arial" w:cs="Arial"/>
          <w:i/>
          <w:sz w:val="20"/>
          <w:szCs w:val="20"/>
          <w:lang w:val="tr-TR"/>
        </w:rPr>
      </w:pPr>
      <w:r>
        <w:rPr>
          <w:rFonts w:ascii="Arial" w:hAnsi="Arial" w:cs="Arial"/>
          <w:sz w:val="20"/>
          <w:szCs w:val="20"/>
          <w:lang w:val="tr-TR"/>
        </w:rPr>
        <w:t>CONCLUSIONS</w:t>
      </w:r>
    </w:p>
    <w:p w14:paraId="6E97FF56" w14:textId="4337F7D3" w:rsidR="002B28E3" w:rsidRPr="00931672" w:rsidRDefault="00C841D5" w:rsidP="00E15706">
      <w:pPr>
        <w:spacing w:after="120" w:line="264" w:lineRule="auto"/>
        <w:rPr>
          <w:rFonts w:ascii="Arial" w:hAnsi="Arial" w:cs="Arial"/>
          <w:sz w:val="20"/>
          <w:szCs w:val="20"/>
        </w:rPr>
      </w:pPr>
      <w:r>
        <w:rPr>
          <w:rFonts w:ascii="Calibri" w:hAnsi="Calibri" w:cs="Calibri"/>
          <w:color w:val="000000"/>
        </w:rPr>
        <w:t xml:space="preserve">Attendees will have an understanding of three models useful in career decision-making. </w:t>
      </w:r>
      <w:r w:rsidR="000B5EB3">
        <w:rPr>
          <w:rFonts w:ascii="Calibri" w:hAnsi="Calibri" w:cs="Calibri"/>
          <w:color w:val="000000"/>
        </w:rPr>
        <w:t>Attendees will have a copy slide deck emailed out to them, containing graphics of the models and a list of references to further explore decision-making models</w:t>
      </w:r>
      <w:r w:rsidR="00200AC8">
        <w:rPr>
          <w:rFonts w:ascii="Calibri" w:hAnsi="Calibri" w:cs="Calibri"/>
          <w:color w:val="000000"/>
        </w:rPr>
        <w:t>.</w:t>
      </w:r>
      <w:r>
        <w:rPr>
          <w:rFonts w:ascii="Calibri" w:hAnsi="Calibri" w:cs="Calibri"/>
          <w:color w:val="000000"/>
        </w:rPr>
        <w:t xml:space="preserve"> </w:t>
      </w:r>
    </w:p>
    <w:p w14:paraId="51260896" w14:textId="77777777" w:rsidR="00CD6C42" w:rsidRPr="00931672" w:rsidRDefault="00CD6C42" w:rsidP="00E15706">
      <w:pPr>
        <w:autoSpaceDE w:val="0"/>
        <w:autoSpaceDN w:val="0"/>
        <w:adjustRightInd w:val="0"/>
        <w:spacing w:after="120" w:line="264" w:lineRule="auto"/>
        <w:jc w:val="both"/>
        <w:rPr>
          <w:rFonts w:ascii="Arial" w:hAnsi="Arial" w:cs="Arial"/>
          <w:sz w:val="20"/>
          <w:szCs w:val="20"/>
          <w:lang w:val="en-AU" w:eastAsia="tr-TR"/>
        </w:rPr>
      </w:pPr>
    </w:p>
    <w:p w14:paraId="3B24318B" w14:textId="77777777" w:rsidR="000A0865" w:rsidRPr="00931672" w:rsidRDefault="00CD6C42" w:rsidP="00E15706">
      <w:pPr>
        <w:pStyle w:val="Heading1"/>
        <w:spacing w:before="0" w:after="120" w:line="264" w:lineRule="auto"/>
        <w:rPr>
          <w:rFonts w:ascii="Arial" w:hAnsi="Arial" w:cs="Arial"/>
          <w:color w:val="FF0000"/>
          <w:sz w:val="20"/>
          <w:szCs w:val="20"/>
          <w:lang w:val="tr-TR"/>
        </w:rPr>
      </w:pPr>
      <w:r w:rsidRPr="00931672">
        <w:rPr>
          <w:rFonts w:ascii="Arial" w:hAnsi="Arial" w:cs="Arial"/>
          <w:sz w:val="20"/>
          <w:szCs w:val="20"/>
          <w:lang w:val="tr-TR"/>
        </w:rPr>
        <w:t>REFERENCES</w:t>
      </w:r>
    </w:p>
    <w:p w14:paraId="5EC506C1" w14:textId="29B78E4E" w:rsidR="00E056C2" w:rsidRPr="00780905" w:rsidRDefault="00E056C2" w:rsidP="00780905">
      <w:pPr>
        <w:spacing w:after="120" w:line="264" w:lineRule="auto"/>
        <w:ind w:left="992" w:hanging="992"/>
        <w:rPr>
          <w:rFonts w:asciiTheme="minorHAnsi" w:hAnsiTheme="minorHAnsi" w:cstheme="minorHAnsi"/>
          <w:szCs w:val="22"/>
          <w:lang w:val="en-NZ"/>
        </w:rPr>
      </w:pPr>
      <w:r w:rsidRPr="00780905">
        <w:rPr>
          <w:rFonts w:asciiTheme="minorHAnsi" w:hAnsiTheme="minorHAnsi" w:cstheme="minorHAnsi"/>
          <w:szCs w:val="22"/>
          <w:lang w:val="en-NZ"/>
        </w:rPr>
        <w:t xml:space="preserve">Commonwealth Government of Australia. (2022). </w:t>
      </w:r>
      <w:r w:rsidRPr="00780905">
        <w:rPr>
          <w:rFonts w:asciiTheme="minorHAnsi" w:hAnsiTheme="minorHAnsi" w:cstheme="minorHAnsi"/>
          <w:i/>
          <w:iCs/>
          <w:szCs w:val="22"/>
          <w:lang w:val="en-NZ"/>
        </w:rPr>
        <w:t xml:space="preserve">Career Services in Australia: Supporting people's transitions across the lifespan </w:t>
      </w:r>
      <w:r w:rsidRPr="00780905">
        <w:rPr>
          <w:rFonts w:asciiTheme="minorHAnsi" w:hAnsiTheme="minorHAnsi" w:cstheme="minorHAnsi"/>
          <w:szCs w:val="22"/>
          <w:lang w:val="en-NZ"/>
        </w:rPr>
        <w:t>[report]. http://hdl.voced.edu.au/10707/9320</w:t>
      </w:r>
    </w:p>
    <w:p w14:paraId="557D7C16" w14:textId="77777777" w:rsidR="000266A8" w:rsidRPr="00780905" w:rsidRDefault="000266A8" w:rsidP="00780905">
      <w:pPr>
        <w:spacing w:after="120" w:line="264" w:lineRule="auto"/>
        <w:ind w:left="992" w:hanging="992"/>
        <w:rPr>
          <w:rFonts w:asciiTheme="minorHAnsi" w:hAnsiTheme="minorHAnsi" w:cstheme="minorHAnsi"/>
          <w:szCs w:val="22"/>
          <w:lang w:val="en-NZ"/>
        </w:rPr>
      </w:pPr>
      <w:r w:rsidRPr="00780905">
        <w:rPr>
          <w:rFonts w:asciiTheme="minorHAnsi" w:hAnsiTheme="minorHAnsi" w:cstheme="minorHAnsi"/>
          <w:szCs w:val="22"/>
          <w:lang w:val="en-NZ"/>
        </w:rPr>
        <w:t xml:space="preserve">Gati, I., &amp; Asher, I. (2001). Prescreening, in-depth exploration, and choice: From decision theory to career counseling practice. </w:t>
      </w:r>
      <w:r w:rsidRPr="00780905">
        <w:rPr>
          <w:rFonts w:asciiTheme="minorHAnsi" w:hAnsiTheme="minorHAnsi" w:cstheme="minorHAnsi"/>
          <w:i/>
          <w:iCs/>
          <w:szCs w:val="22"/>
          <w:lang w:val="en-NZ"/>
        </w:rPr>
        <w:t>The Career Development Quarterly, 50</w:t>
      </w:r>
      <w:r w:rsidRPr="00780905">
        <w:rPr>
          <w:rFonts w:asciiTheme="minorHAnsi" w:hAnsiTheme="minorHAnsi" w:cstheme="minorHAnsi"/>
          <w:szCs w:val="22"/>
          <w:lang w:val="en-NZ"/>
        </w:rPr>
        <w:t>(2), 140–157. https://doi.org/10.1002/j.2161-0045.2001.tb00979.x</w:t>
      </w:r>
    </w:p>
    <w:p w14:paraId="5EF6D9A9" w14:textId="10D6167C" w:rsidR="00780905" w:rsidRPr="00780905" w:rsidRDefault="00780905" w:rsidP="00780905">
      <w:pPr>
        <w:spacing w:after="120" w:line="264" w:lineRule="auto"/>
        <w:ind w:left="992" w:hanging="992"/>
        <w:rPr>
          <w:rFonts w:asciiTheme="minorHAnsi" w:hAnsiTheme="minorHAnsi" w:cstheme="minorHAnsi"/>
          <w:szCs w:val="22"/>
          <w:lang w:val="en-NZ"/>
        </w:rPr>
      </w:pPr>
      <w:r w:rsidRPr="00780905">
        <w:rPr>
          <w:rFonts w:asciiTheme="minorHAnsi" w:hAnsiTheme="minorHAnsi" w:cstheme="minorHAnsi"/>
          <w:szCs w:val="22"/>
          <w:lang w:val="en-NZ"/>
        </w:rPr>
        <w:t xml:space="preserve">Good, M. (1986). </w:t>
      </w:r>
      <w:r w:rsidRPr="00780905">
        <w:rPr>
          <w:rFonts w:asciiTheme="minorHAnsi" w:hAnsiTheme="minorHAnsi" w:cstheme="minorHAnsi"/>
          <w:i/>
          <w:iCs/>
          <w:szCs w:val="22"/>
          <w:lang w:val="en-NZ"/>
        </w:rPr>
        <w:t>The Playback Conductor Or How Many Arrows will I Need?</w:t>
      </w:r>
      <w:r w:rsidRPr="00780905">
        <w:rPr>
          <w:rFonts w:asciiTheme="minorHAnsi" w:hAnsiTheme="minorHAnsi" w:cstheme="minorHAnsi"/>
          <w:szCs w:val="22"/>
          <w:lang w:val="en-NZ"/>
        </w:rPr>
        <w:t xml:space="preserve"> [Psychodrama certification thesis: Centre for Playback Theatre]. http://www.playbacktheatre.org/wp-content/uploads/2010/04/playbackconduct-good.pdf</w:t>
      </w:r>
    </w:p>
    <w:p w14:paraId="21B97A97" w14:textId="33264A22" w:rsidR="000266A8" w:rsidRPr="00780905" w:rsidRDefault="000266A8" w:rsidP="00780905">
      <w:pPr>
        <w:spacing w:after="120" w:line="264" w:lineRule="auto"/>
        <w:ind w:left="992" w:hanging="992"/>
        <w:rPr>
          <w:rFonts w:asciiTheme="minorHAnsi" w:hAnsiTheme="minorHAnsi" w:cstheme="minorHAnsi"/>
          <w:szCs w:val="22"/>
          <w:lang w:val="en-NZ"/>
        </w:rPr>
      </w:pPr>
      <w:r w:rsidRPr="00780905">
        <w:rPr>
          <w:rFonts w:asciiTheme="minorHAnsi" w:hAnsiTheme="minorHAnsi" w:cstheme="minorHAnsi"/>
          <w:szCs w:val="22"/>
          <w:lang w:val="en-NZ"/>
        </w:rPr>
        <w:lastRenderedPageBreak/>
        <w:t xml:space="preserve">Krumboltz, J. D., &amp; Hamel, D. A. (1980, August). </w:t>
      </w:r>
      <w:r w:rsidRPr="00780905">
        <w:rPr>
          <w:rFonts w:asciiTheme="minorHAnsi" w:hAnsiTheme="minorHAnsi" w:cstheme="minorHAnsi"/>
          <w:i/>
          <w:iCs/>
          <w:szCs w:val="22"/>
          <w:lang w:val="en-NZ"/>
        </w:rPr>
        <w:t xml:space="preserve">The Effect of Decision Training on Career Decision-Making Competence </w:t>
      </w:r>
      <w:r w:rsidRPr="00780905">
        <w:rPr>
          <w:rFonts w:asciiTheme="minorHAnsi" w:hAnsiTheme="minorHAnsi" w:cstheme="minorHAnsi"/>
          <w:szCs w:val="22"/>
          <w:lang w:val="en-NZ"/>
        </w:rPr>
        <w:t>(No. ARITR487). US Army Research Institute for the Behavioral and Social Sciences. https://apps.dtic.mil/sti/tr/pdf/ADA124139.pdf</w:t>
      </w:r>
    </w:p>
    <w:p w14:paraId="07F29B90" w14:textId="77777777" w:rsidR="000266A8" w:rsidRPr="00780905" w:rsidRDefault="000266A8" w:rsidP="00780905">
      <w:pPr>
        <w:spacing w:after="120" w:line="264" w:lineRule="auto"/>
        <w:ind w:left="992" w:hanging="992"/>
        <w:rPr>
          <w:rFonts w:asciiTheme="minorHAnsi" w:hAnsiTheme="minorHAnsi" w:cstheme="minorHAnsi"/>
          <w:szCs w:val="22"/>
          <w:lang w:val="en-NZ"/>
        </w:rPr>
      </w:pPr>
      <w:r w:rsidRPr="00780905">
        <w:rPr>
          <w:rFonts w:asciiTheme="minorHAnsi" w:hAnsiTheme="minorHAnsi" w:cstheme="minorHAnsi"/>
          <w:szCs w:val="22"/>
          <w:lang w:val="en-NZ"/>
        </w:rPr>
        <w:t>O'Reilly, V. N. (2018). </w:t>
      </w:r>
      <w:r w:rsidRPr="00780905">
        <w:rPr>
          <w:rFonts w:asciiTheme="minorHAnsi" w:hAnsiTheme="minorHAnsi" w:cstheme="minorHAnsi"/>
          <w:i/>
          <w:iCs/>
          <w:szCs w:val="22"/>
          <w:lang w:val="en-NZ"/>
        </w:rPr>
        <w:t>Professional standards and professional identity: Perspectives of career development practitioners in Australia and New Zealand</w:t>
      </w:r>
      <w:r w:rsidRPr="00780905">
        <w:rPr>
          <w:rFonts w:asciiTheme="minorHAnsi" w:hAnsiTheme="minorHAnsi" w:cstheme="minorHAnsi"/>
          <w:szCs w:val="22"/>
          <w:lang w:val="en-NZ"/>
        </w:rPr>
        <w:t xml:space="preserve"> [Doctoral thesis: University of Queensland]. </w:t>
      </w:r>
      <w:hyperlink r:id="rId8" w:history="1">
        <w:r w:rsidRPr="00780905">
          <w:rPr>
            <w:rStyle w:val="Hyperlink"/>
            <w:rFonts w:asciiTheme="minorHAnsi" w:hAnsiTheme="minorHAnsi" w:cstheme="minorHAnsi"/>
            <w:szCs w:val="22"/>
            <w:lang w:val="en-NZ"/>
          </w:rPr>
          <w:t>https://espace.library.uq.edu.au/data/UQ_4c26854/s42789538_final_thesis.pdf?</w:t>
        </w:r>
      </w:hyperlink>
    </w:p>
    <w:p w14:paraId="768D6D2C" w14:textId="500B25EC" w:rsidR="002477FF" w:rsidRPr="00780905" w:rsidRDefault="000266A8" w:rsidP="00780905">
      <w:pPr>
        <w:spacing w:after="120" w:line="264" w:lineRule="auto"/>
        <w:ind w:left="992" w:hanging="992"/>
        <w:rPr>
          <w:rFonts w:asciiTheme="minorHAnsi" w:hAnsiTheme="minorHAnsi" w:cstheme="minorHAnsi"/>
          <w:szCs w:val="22"/>
          <w:lang w:val="en-NZ"/>
        </w:rPr>
      </w:pPr>
      <w:r w:rsidRPr="00780905">
        <w:rPr>
          <w:rFonts w:asciiTheme="minorHAnsi" w:hAnsiTheme="minorHAnsi" w:cstheme="minorHAnsi"/>
          <w:szCs w:val="22"/>
          <w:lang w:val="en-NZ"/>
        </w:rPr>
        <w:t xml:space="preserve">Peterson, G. W., Sampson, J. P., Jr., Reardon, R. C., &amp; Lenz, J. G. (1996). A cognitive information processing approach to career problem solving and decision making. In D. Brown, L. Brooks, &amp; Associates (Eds.), </w:t>
      </w:r>
      <w:r w:rsidRPr="00780905">
        <w:rPr>
          <w:rFonts w:asciiTheme="minorHAnsi" w:hAnsiTheme="minorHAnsi" w:cstheme="minorHAnsi"/>
          <w:i/>
          <w:iCs/>
          <w:szCs w:val="22"/>
          <w:lang w:val="en-NZ"/>
        </w:rPr>
        <w:t>Career Choice and Development</w:t>
      </w:r>
      <w:r w:rsidRPr="00780905">
        <w:rPr>
          <w:rFonts w:asciiTheme="minorHAnsi" w:hAnsiTheme="minorHAnsi" w:cstheme="minorHAnsi"/>
          <w:szCs w:val="22"/>
          <w:lang w:val="en-NZ"/>
        </w:rPr>
        <w:t xml:space="preserve"> (3rd ed., pp. 423–476). Jossey-Bass.</w:t>
      </w:r>
    </w:p>
    <w:p w14:paraId="56BA9D1C" w14:textId="56E1512C" w:rsidR="00780905" w:rsidRPr="00780905" w:rsidRDefault="00780905" w:rsidP="00780905">
      <w:pPr>
        <w:spacing w:after="120" w:line="264" w:lineRule="auto"/>
        <w:ind w:left="992" w:hanging="992"/>
        <w:rPr>
          <w:rFonts w:asciiTheme="minorHAnsi" w:hAnsiTheme="minorHAnsi" w:cstheme="minorHAnsi"/>
          <w:szCs w:val="22"/>
          <w:lang w:val="en-NZ"/>
        </w:rPr>
      </w:pPr>
      <w:r w:rsidRPr="00780905">
        <w:rPr>
          <w:rFonts w:asciiTheme="minorHAnsi" w:hAnsiTheme="minorHAnsi" w:cstheme="minorHAnsi"/>
          <w:szCs w:val="22"/>
          <w:lang w:val="en-NZ"/>
        </w:rPr>
        <w:t xml:space="preserve">Taket, A., &amp; White, L. (2000). Chapter 8: Pluralism in the facilitation process. In </w:t>
      </w:r>
      <w:r w:rsidRPr="00780905">
        <w:rPr>
          <w:rFonts w:asciiTheme="minorHAnsi" w:hAnsiTheme="minorHAnsi" w:cstheme="minorHAnsi"/>
          <w:i/>
          <w:iCs/>
          <w:szCs w:val="22"/>
          <w:lang w:val="en-NZ"/>
        </w:rPr>
        <w:t xml:space="preserve">Partnership &amp; participation: Decision-making in the Multiagency Setting </w:t>
      </w:r>
      <w:r w:rsidRPr="00780905">
        <w:rPr>
          <w:rFonts w:asciiTheme="minorHAnsi" w:hAnsiTheme="minorHAnsi" w:cstheme="minorHAnsi"/>
          <w:szCs w:val="22"/>
          <w:lang w:val="en-NZ"/>
        </w:rPr>
        <w:t>(pp. 145-182). John Wiley &amp; Sons Ltd.</w:t>
      </w:r>
    </w:p>
    <w:sectPr w:rsidR="00780905" w:rsidRPr="00780905" w:rsidSect="002F096B">
      <w:pgSz w:w="12240" w:h="15840"/>
      <w:pgMar w:top="1560" w:right="1467"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96C9D" w14:textId="77777777" w:rsidR="00AA4744" w:rsidRDefault="00AA4744" w:rsidP="00030C15">
      <w:r>
        <w:separator/>
      </w:r>
    </w:p>
  </w:endnote>
  <w:endnote w:type="continuationSeparator" w:id="0">
    <w:p w14:paraId="1B05F0EF" w14:textId="77777777" w:rsidR="00AA4744" w:rsidRDefault="00AA4744" w:rsidP="00030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8C414" w14:textId="77777777" w:rsidR="00AA4744" w:rsidRDefault="00AA4744" w:rsidP="00030C15">
      <w:r>
        <w:separator/>
      </w:r>
    </w:p>
  </w:footnote>
  <w:footnote w:type="continuationSeparator" w:id="0">
    <w:p w14:paraId="0D05DBEA" w14:textId="77777777" w:rsidR="00AA4744" w:rsidRDefault="00AA4744" w:rsidP="00030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5749A"/>
    <w:multiLevelType w:val="hybridMultilevel"/>
    <w:tmpl w:val="EE5E3638"/>
    <w:lvl w:ilvl="0" w:tplc="43207318">
      <w:numFmt w:val="bullet"/>
      <w:lvlText w:val="•"/>
      <w:lvlJc w:val="left"/>
      <w:pPr>
        <w:ind w:left="1080" w:hanging="72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0F24528"/>
    <w:multiLevelType w:val="hybridMultilevel"/>
    <w:tmpl w:val="B4CEAF2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67A4DBE"/>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F28503F"/>
    <w:multiLevelType w:val="hybridMultilevel"/>
    <w:tmpl w:val="443E7042"/>
    <w:lvl w:ilvl="0" w:tplc="F822C0F0">
      <w:start w:val="1"/>
      <w:numFmt w:val="decimal"/>
      <w:pStyle w:val="References"/>
      <w:lvlText w:val="[%1]."/>
      <w:lvlJc w:val="left"/>
      <w:pPr>
        <w:ind w:left="1008" w:hanging="360"/>
      </w:pPr>
    </w:lvl>
    <w:lvl w:ilvl="1" w:tplc="6054EACC">
      <w:start w:val="1"/>
      <w:numFmt w:val="upp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4C7D172A"/>
    <w:multiLevelType w:val="hybridMultilevel"/>
    <w:tmpl w:val="B4C0B8B0"/>
    <w:lvl w:ilvl="0" w:tplc="28744274">
      <w:start w:val="1"/>
      <w:numFmt w:val="bullet"/>
      <w:pStyle w:val="Achievement"/>
      <w:lvlText w:val=""/>
      <w:legacy w:legacy="1" w:legacySpace="0" w:legacyIndent="240"/>
      <w:lvlJc w:val="left"/>
      <w:pPr>
        <w:ind w:left="240" w:hanging="240"/>
      </w:pPr>
      <w:rPr>
        <w:rFonts w:ascii="Wingdings" w:hAnsi="Wingdings"/>
        <w:sz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F7317E"/>
    <w:multiLevelType w:val="hybridMultilevel"/>
    <w:tmpl w:val="BE4AB8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72A6AD2"/>
    <w:multiLevelType w:val="hybridMultilevel"/>
    <w:tmpl w:val="3970FCBC"/>
    <w:lvl w:ilvl="0" w:tplc="9B14E83E">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C4"/>
    <w:rsid w:val="00004CB2"/>
    <w:rsid w:val="00020D09"/>
    <w:rsid w:val="000266A8"/>
    <w:rsid w:val="00030C15"/>
    <w:rsid w:val="000456AC"/>
    <w:rsid w:val="00063C33"/>
    <w:rsid w:val="00091322"/>
    <w:rsid w:val="000A0865"/>
    <w:rsid w:val="000A1C0E"/>
    <w:rsid w:val="000B5EB3"/>
    <w:rsid w:val="000B7F45"/>
    <w:rsid w:val="000D708F"/>
    <w:rsid w:val="000F29A7"/>
    <w:rsid w:val="001016F0"/>
    <w:rsid w:val="0010522B"/>
    <w:rsid w:val="001200C3"/>
    <w:rsid w:val="00120E8C"/>
    <w:rsid w:val="001532E6"/>
    <w:rsid w:val="00193D06"/>
    <w:rsid w:val="00196E3A"/>
    <w:rsid w:val="001D6EE9"/>
    <w:rsid w:val="001E724B"/>
    <w:rsid w:val="001F1E75"/>
    <w:rsid w:val="001F5DEC"/>
    <w:rsid w:val="00200AC8"/>
    <w:rsid w:val="00205D7D"/>
    <w:rsid w:val="00206490"/>
    <w:rsid w:val="00207C8A"/>
    <w:rsid w:val="0021304F"/>
    <w:rsid w:val="00230A18"/>
    <w:rsid w:val="00244C37"/>
    <w:rsid w:val="00245A7E"/>
    <w:rsid w:val="002477FF"/>
    <w:rsid w:val="00263548"/>
    <w:rsid w:val="00277BD0"/>
    <w:rsid w:val="002A0358"/>
    <w:rsid w:val="002B28E3"/>
    <w:rsid w:val="002B5433"/>
    <w:rsid w:val="002D53DD"/>
    <w:rsid w:val="002F096B"/>
    <w:rsid w:val="002F31C9"/>
    <w:rsid w:val="003009DF"/>
    <w:rsid w:val="0032191E"/>
    <w:rsid w:val="00335709"/>
    <w:rsid w:val="00343197"/>
    <w:rsid w:val="003615C3"/>
    <w:rsid w:val="00365E1A"/>
    <w:rsid w:val="00382FE4"/>
    <w:rsid w:val="00390589"/>
    <w:rsid w:val="003A464E"/>
    <w:rsid w:val="003D7FCF"/>
    <w:rsid w:val="003E56F7"/>
    <w:rsid w:val="003E5A64"/>
    <w:rsid w:val="00421134"/>
    <w:rsid w:val="004355F4"/>
    <w:rsid w:val="00447F85"/>
    <w:rsid w:val="0047245D"/>
    <w:rsid w:val="0047632C"/>
    <w:rsid w:val="00486D0B"/>
    <w:rsid w:val="004A3EC2"/>
    <w:rsid w:val="004A6450"/>
    <w:rsid w:val="004B25CD"/>
    <w:rsid w:val="004B29B0"/>
    <w:rsid w:val="004B29BB"/>
    <w:rsid w:val="004B4BB9"/>
    <w:rsid w:val="004C52EE"/>
    <w:rsid w:val="004D3CBB"/>
    <w:rsid w:val="004D5109"/>
    <w:rsid w:val="004F1667"/>
    <w:rsid w:val="005179D9"/>
    <w:rsid w:val="00526546"/>
    <w:rsid w:val="005522F0"/>
    <w:rsid w:val="00555AD5"/>
    <w:rsid w:val="00560820"/>
    <w:rsid w:val="00561AEE"/>
    <w:rsid w:val="00573B84"/>
    <w:rsid w:val="00580155"/>
    <w:rsid w:val="00583225"/>
    <w:rsid w:val="005838E1"/>
    <w:rsid w:val="005876CE"/>
    <w:rsid w:val="005A0E78"/>
    <w:rsid w:val="005B01DB"/>
    <w:rsid w:val="005B0737"/>
    <w:rsid w:val="005B0C3B"/>
    <w:rsid w:val="005D6679"/>
    <w:rsid w:val="005F2457"/>
    <w:rsid w:val="00600B8B"/>
    <w:rsid w:val="00611758"/>
    <w:rsid w:val="00614758"/>
    <w:rsid w:val="006208A2"/>
    <w:rsid w:val="00637879"/>
    <w:rsid w:val="006417F4"/>
    <w:rsid w:val="00645B5D"/>
    <w:rsid w:val="0065628F"/>
    <w:rsid w:val="00671C30"/>
    <w:rsid w:val="0067246F"/>
    <w:rsid w:val="0067247F"/>
    <w:rsid w:val="00673316"/>
    <w:rsid w:val="00683FEC"/>
    <w:rsid w:val="006A350A"/>
    <w:rsid w:val="006B6F54"/>
    <w:rsid w:val="006C1DA5"/>
    <w:rsid w:val="006E29C5"/>
    <w:rsid w:val="006E7CBA"/>
    <w:rsid w:val="006F1F2C"/>
    <w:rsid w:val="00710EE7"/>
    <w:rsid w:val="00732361"/>
    <w:rsid w:val="00747676"/>
    <w:rsid w:val="00757B37"/>
    <w:rsid w:val="00761707"/>
    <w:rsid w:val="0076232C"/>
    <w:rsid w:val="00774091"/>
    <w:rsid w:val="007804CC"/>
    <w:rsid w:val="00780905"/>
    <w:rsid w:val="0079567A"/>
    <w:rsid w:val="007A2ACC"/>
    <w:rsid w:val="007C1531"/>
    <w:rsid w:val="007D0044"/>
    <w:rsid w:val="007E4EE8"/>
    <w:rsid w:val="0082330E"/>
    <w:rsid w:val="008379E1"/>
    <w:rsid w:val="008464AF"/>
    <w:rsid w:val="0084694B"/>
    <w:rsid w:val="008529D1"/>
    <w:rsid w:val="008618C1"/>
    <w:rsid w:val="008633D2"/>
    <w:rsid w:val="0086556E"/>
    <w:rsid w:val="00885C0A"/>
    <w:rsid w:val="008945B7"/>
    <w:rsid w:val="008A6DCE"/>
    <w:rsid w:val="008C0780"/>
    <w:rsid w:val="008C1E59"/>
    <w:rsid w:val="008C55D7"/>
    <w:rsid w:val="008C7558"/>
    <w:rsid w:val="008D58C6"/>
    <w:rsid w:val="008E66B7"/>
    <w:rsid w:val="00902F65"/>
    <w:rsid w:val="00911DA6"/>
    <w:rsid w:val="0091230B"/>
    <w:rsid w:val="009129E0"/>
    <w:rsid w:val="009245EB"/>
    <w:rsid w:val="00931672"/>
    <w:rsid w:val="00935430"/>
    <w:rsid w:val="0093735E"/>
    <w:rsid w:val="009419B9"/>
    <w:rsid w:val="00945492"/>
    <w:rsid w:val="009518AC"/>
    <w:rsid w:val="00973808"/>
    <w:rsid w:val="009B33FD"/>
    <w:rsid w:val="009B6548"/>
    <w:rsid w:val="009D65A0"/>
    <w:rsid w:val="009E145E"/>
    <w:rsid w:val="009E1A51"/>
    <w:rsid w:val="009E5BB1"/>
    <w:rsid w:val="00A3087F"/>
    <w:rsid w:val="00A36C70"/>
    <w:rsid w:val="00A60311"/>
    <w:rsid w:val="00A70A10"/>
    <w:rsid w:val="00A77533"/>
    <w:rsid w:val="00A91852"/>
    <w:rsid w:val="00A9259D"/>
    <w:rsid w:val="00AA2D35"/>
    <w:rsid w:val="00AA4744"/>
    <w:rsid w:val="00AF4511"/>
    <w:rsid w:val="00B26BFF"/>
    <w:rsid w:val="00B47D55"/>
    <w:rsid w:val="00B93516"/>
    <w:rsid w:val="00BB19C4"/>
    <w:rsid w:val="00BE1560"/>
    <w:rsid w:val="00BF7D71"/>
    <w:rsid w:val="00C05E07"/>
    <w:rsid w:val="00C66D01"/>
    <w:rsid w:val="00C71E13"/>
    <w:rsid w:val="00C841D5"/>
    <w:rsid w:val="00C938AB"/>
    <w:rsid w:val="00CD37CD"/>
    <w:rsid w:val="00CD6C42"/>
    <w:rsid w:val="00CE6B0C"/>
    <w:rsid w:val="00CF1BA9"/>
    <w:rsid w:val="00CF1E10"/>
    <w:rsid w:val="00D02249"/>
    <w:rsid w:val="00D104A8"/>
    <w:rsid w:val="00D242E0"/>
    <w:rsid w:val="00D350B6"/>
    <w:rsid w:val="00D444EC"/>
    <w:rsid w:val="00D545FD"/>
    <w:rsid w:val="00D67644"/>
    <w:rsid w:val="00D74535"/>
    <w:rsid w:val="00D757FF"/>
    <w:rsid w:val="00DB140B"/>
    <w:rsid w:val="00DC1A9C"/>
    <w:rsid w:val="00DD3581"/>
    <w:rsid w:val="00DD5D37"/>
    <w:rsid w:val="00DE6B91"/>
    <w:rsid w:val="00DF4E36"/>
    <w:rsid w:val="00E032A2"/>
    <w:rsid w:val="00E056C2"/>
    <w:rsid w:val="00E15706"/>
    <w:rsid w:val="00E668F8"/>
    <w:rsid w:val="00E67BC2"/>
    <w:rsid w:val="00E74E7B"/>
    <w:rsid w:val="00E957D0"/>
    <w:rsid w:val="00EA6FB6"/>
    <w:rsid w:val="00EC19E2"/>
    <w:rsid w:val="00EE5BAB"/>
    <w:rsid w:val="00F00F20"/>
    <w:rsid w:val="00F059BE"/>
    <w:rsid w:val="00F642FA"/>
    <w:rsid w:val="00F7691C"/>
    <w:rsid w:val="00F840D6"/>
    <w:rsid w:val="00F90D73"/>
    <w:rsid w:val="00FE1E41"/>
    <w:rsid w:val="00FE4DEF"/>
    <w:rsid w:val="00FF3D0D"/>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F1442"/>
  <w15:docId w15:val="{3A7D5204-FA13-44AD-87BC-F1498D6A2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632C"/>
    <w:rPr>
      <w:sz w:val="22"/>
      <w:szCs w:val="24"/>
      <w:lang w:val="en-US" w:eastAsia="en-US"/>
    </w:rPr>
  </w:style>
  <w:style w:type="paragraph" w:styleId="Heading1">
    <w:name w:val="heading 1"/>
    <w:basedOn w:val="Normal"/>
    <w:next w:val="Normal"/>
    <w:link w:val="Heading1Char"/>
    <w:qFormat/>
    <w:rsid w:val="0047632C"/>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hievement">
    <w:name w:val="Achievement"/>
    <w:basedOn w:val="BodyText"/>
    <w:pPr>
      <w:numPr>
        <w:numId w:val="1"/>
      </w:numPr>
      <w:spacing w:after="60" w:line="240" w:lineRule="atLeast"/>
      <w:jc w:val="both"/>
    </w:pPr>
    <w:rPr>
      <w:rFonts w:ascii="Garamond" w:hAnsi="Garamond"/>
      <w:szCs w:val="20"/>
    </w:rPr>
  </w:style>
  <w:style w:type="paragraph" w:styleId="BodyTextIndent">
    <w:name w:val="Body Text Indent"/>
    <w:basedOn w:val="Normal"/>
    <w:pPr>
      <w:ind w:left="1080" w:hanging="900"/>
    </w:pPr>
    <w:rPr>
      <w:szCs w:val="20"/>
    </w:rPr>
  </w:style>
  <w:style w:type="paragraph" w:styleId="BodyText">
    <w:name w:val="Body Text"/>
    <w:basedOn w:val="Normal"/>
    <w:link w:val="BodyTextChar"/>
    <w:pPr>
      <w:spacing w:after="120"/>
    </w:pPr>
  </w:style>
  <w:style w:type="paragraph" w:styleId="BodyText2">
    <w:name w:val="Body Text 2"/>
    <w:basedOn w:val="Normal"/>
    <w:link w:val="BodyText2Char"/>
    <w:rsid w:val="004D3CBB"/>
    <w:pPr>
      <w:spacing w:after="120" w:line="480" w:lineRule="auto"/>
    </w:pPr>
  </w:style>
  <w:style w:type="character" w:customStyle="1" w:styleId="BodyText2Char">
    <w:name w:val="Body Text 2 Char"/>
    <w:link w:val="BodyText2"/>
    <w:rsid w:val="004D3CBB"/>
    <w:rPr>
      <w:sz w:val="24"/>
      <w:szCs w:val="24"/>
      <w:lang w:val="en-US" w:eastAsia="en-US"/>
    </w:rPr>
  </w:style>
  <w:style w:type="paragraph" w:customStyle="1" w:styleId="Abstracttext">
    <w:name w:val="Abstract text"/>
    <w:basedOn w:val="Normal"/>
    <w:rsid w:val="004D3CBB"/>
    <w:pPr>
      <w:spacing w:after="200"/>
      <w:jc w:val="both"/>
    </w:pPr>
    <w:rPr>
      <w:i/>
      <w:sz w:val="20"/>
      <w:szCs w:val="20"/>
    </w:rPr>
  </w:style>
  <w:style w:type="table" w:styleId="TableGrid">
    <w:name w:val="Table Grid"/>
    <w:basedOn w:val="TableNormal"/>
    <w:rsid w:val="00020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aBalk">
    <w:name w:val="Ara Başlık"/>
    <w:basedOn w:val="Metin"/>
    <w:rsid w:val="007804CC"/>
    <w:rPr>
      <w:b/>
    </w:rPr>
  </w:style>
  <w:style w:type="paragraph" w:customStyle="1" w:styleId="Metin">
    <w:name w:val="Metin"/>
    <w:basedOn w:val="Normal"/>
    <w:rsid w:val="007804CC"/>
    <w:pPr>
      <w:jc w:val="both"/>
    </w:pPr>
    <w:rPr>
      <w:sz w:val="20"/>
      <w:szCs w:val="20"/>
      <w:lang w:val="en-AU"/>
    </w:rPr>
  </w:style>
  <w:style w:type="paragraph" w:customStyle="1" w:styleId="Kaynak">
    <w:name w:val="Kaynak"/>
    <w:basedOn w:val="Metin"/>
    <w:rsid w:val="007804CC"/>
  </w:style>
  <w:style w:type="character" w:styleId="Hyperlink">
    <w:name w:val="Hyperlink"/>
    <w:unhideWhenUsed/>
    <w:rsid w:val="005B0C3B"/>
    <w:rPr>
      <w:color w:val="0000FF"/>
      <w:u w:val="single"/>
    </w:rPr>
  </w:style>
  <w:style w:type="paragraph" w:customStyle="1" w:styleId="OtherHeadings">
    <w:name w:val="Other Headings"/>
    <w:basedOn w:val="Heading1"/>
    <w:next w:val="BodyText"/>
    <w:rsid w:val="005B0C3B"/>
    <w:pPr>
      <w:spacing w:after="120"/>
      <w:jc w:val="both"/>
    </w:pPr>
    <w:rPr>
      <w:caps/>
      <w:sz w:val="20"/>
      <w:lang w:eastAsia="tr-TR"/>
    </w:rPr>
  </w:style>
  <w:style w:type="paragraph" w:customStyle="1" w:styleId="References">
    <w:name w:val="References"/>
    <w:basedOn w:val="ListParagraph"/>
    <w:rsid w:val="005B0C3B"/>
    <w:pPr>
      <w:numPr>
        <w:numId w:val="4"/>
      </w:numPr>
      <w:tabs>
        <w:tab w:val="num" w:pos="360"/>
        <w:tab w:val="num" w:pos="432"/>
      </w:tabs>
      <w:adjustRightInd w:val="0"/>
      <w:snapToGrid w:val="0"/>
      <w:ind w:left="357" w:hanging="357"/>
      <w:contextualSpacing/>
      <w:jc w:val="both"/>
    </w:pPr>
    <w:rPr>
      <w:rFonts w:eastAsia="SimSun"/>
      <w:sz w:val="16"/>
      <w:lang w:eastAsia="zh-CN"/>
    </w:rPr>
  </w:style>
  <w:style w:type="character" w:customStyle="1" w:styleId="Heading1Char">
    <w:name w:val="Heading 1 Char"/>
    <w:link w:val="Heading1"/>
    <w:rsid w:val="0047632C"/>
    <w:rPr>
      <w:b/>
      <w:bCs/>
      <w:kern w:val="32"/>
      <w:sz w:val="32"/>
      <w:szCs w:val="32"/>
      <w:lang w:val="en-US" w:eastAsia="en-US"/>
    </w:rPr>
  </w:style>
  <w:style w:type="paragraph" w:styleId="ListParagraph">
    <w:name w:val="List Paragraph"/>
    <w:basedOn w:val="Normal"/>
    <w:uiPriority w:val="34"/>
    <w:qFormat/>
    <w:rsid w:val="005B0C3B"/>
    <w:pPr>
      <w:ind w:left="708"/>
    </w:pPr>
  </w:style>
  <w:style w:type="character" w:customStyle="1" w:styleId="BodyTextChar">
    <w:name w:val="Body Text Char"/>
    <w:link w:val="BodyText"/>
    <w:rsid w:val="00580155"/>
    <w:rPr>
      <w:sz w:val="24"/>
      <w:szCs w:val="24"/>
      <w:lang w:val="en-US" w:eastAsia="en-US"/>
    </w:rPr>
  </w:style>
  <w:style w:type="paragraph" w:styleId="BalloonText">
    <w:name w:val="Balloon Text"/>
    <w:basedOn w:val="Normal"/>
    <w:link w:val="BalloonTextChar"/>
    <w:rsid w:val="00DC1A9C"/>
    <w:rPr>
      <w:rFonts w:ascii="Tahoma" w:hAnsi="Tahoma"/>
      <w:sz w:val="16"/>
      <w:szCs w:val="16"/>
    </w:rPr>
  </w:style>
  <w:style w:type="character" w:customStyle="1" w:styleId="BalloonTextChar">
    <w:name w:val="Balloon Text Char"/>
    <w:link w:val="BalloonText"/>
    <w:rsid w:val="00DC1A9C"/>
    <w:rPr>
      <w:rFonts w:ascii="Tahoma" w:hAnsi="Tahoma" w:cs="Tahoma"/>
      <w:sz w:val="16"/>
      <w:szCs w:val="16"/>
      <w:lang w:val="en-US" w:eastAsia="en-US"/>
    </w:rPr>
  </w:style>
  <w:style w:type="paragraph" w:styleId="PlainText">
    <w:name w:val="Plain Text"/>
    <w:basedOn w:val="Normal"/>
    <w:link w:val="PlainTextChar"/>
    <w:rsid w:val="006E7CBA"/>
    <w:pPr>
      <w:overflowPunct w:val="0"/>
      <w:autoSpaceDE w:val="0"/>
      <w:autoSpaceDN w:val="0"/>
      <w:adjustRightInd w:val="0"/>
      <w:textAlignment w:val="baseline"/>
    </w:pPr>
    <w:rPr>
      <w:rFonts w:ascii="Courier New" w:hAnsi="Courier New"/>
      <w:sz w:val="20"/>
      <w:szCs w:val="20"/>
      <w:lang w:val="en-AU"/>
    </w:rPr>
  </w:style>
  <w:style w:type="character" w:customStyle="1" w:styleId="PlainTextChar">
    <w:name w:val="Plain Text Char"/>
    <w:basedOn w:val="DefaultParagraphFont"/>
    <w:link w:val="PlainText"/>
    <w:rsid w:val="006E7CBA"/>
    <w:rPr>
      <w:rFonts w:ascii="Courier New" w:hAnsi="Courier New"/>
      <w:lang w:val="en-AU" w:eastAsia="en-US"/>
    </w:rPr>
  </w:style>
  <w:style w:type="character" w:styleId="FollowedHyperlink">
    <w:name w:val="FollowedHyperlink"/>
    <w:basedOn w:val="DefaultParagraphFont"/>
    <w:rsid w:val="00683FEC"/>
    <w:rPr>
      <w:color w:val="800080"/>
      <w:u w:val="single"/>
    </w:rPr>
  </w:style>
  <w:style w:type="paragraph" w:styleId="DocumentMap">
    <w:name w:val="Document Map"/>
    <w:basedOn w:val="Normal"/>
    <w:link w:val="DocumentMapChar"/>
    <w:rsid w:val="005D6679"/>
    <w:rPr>
      <w:rFonts w:ascii="Tahoma" w:hAnsi="Tahoma" w:cs="Tahoma"/>
      <w:sz w:val="16"/>
      <w:szCs w:val="16"/>
    </w:rPr>
  </w:style>
  <w:style w:type="character" w:customStyle="1" w:styleId="DocumentMapChar">
    <w:name w:val="Document Map Char"/>
    <w:basedOn w:val="DefaultParagraphFont"/>
    <w:link w:val="DocumentMap"/>
    <w:rsid w:val="005D6679"/>
    <w:rPr>
      <w:rFonts w:ascii="Tahoma" w:hAnsi="Tahoma" w:cs="Tahoma"/>
      <w:sz w:val="16"/>
      <w:szCs w:val="16"/>
      <w:lang w:val="en-US" w:eastAsia="en-US"/>
    </w:rPr>
  </w:style>
  <w:style w:type="paragraph" w:styleId="Header">
    <w:name w:val="header"/>
    <w:basedOn w:val="Normal"/>
    <w:link w:val="HeaderChar"/>
    <w:rsid w:val="00030C15"/>
    <w:pPr>
      <w:tabs>
        <w:tab w:val="center" w:pos="4819"/>
        <w:tab w:val="right" w:pos="9638"/>
      </w:tabs>
    </w:pPr>
  </w:style>
  <w:style w:type="character" w:customStyle="1" w:styleId="HeaderChar">
    <w:name w:val="Header Char"/>
    <w:basedOn w:val="DefaultParagraphFont"/>
    <w:link w:val="Header"/>
    <w:rsid w:val="00030C15"/>
    <w:rPr>
      <w:sz w:val="22"/>
      <w:szCs w:val="24"/>
      <w:lang w:val="en-US" w:eastAsia="en-US"/>
    </w:rPr>
  </w:style>
  <w:style w:type="paragraph" w:styleId="Footer">
    <w:name w:val="footer"/>
    <w:basedOn w:val="Normal"/>
    <w:link w:val="FooterChar"/>
    <w:rsid w:val="00030C15"/>
    <w:pPr>
      <w:tabs>
        <w:tab w:val="center" w:pos="4819"/>
        <w:tab w:val="right" w:pos="9638"/>
      </w:tabs>
    </w:pPr>
  </w:style>
  <w:style w:type="character" w:customStyle="1" w:styleId="FooterChar">
    <w:name w:val="Footer Char"/>
    <w:basedOn w:val="DefaultParagraphFont"/>
    <w:link w:val="Footer"/>
    <w:rsid w:val="00030C15"/>
    <w:rPr>
      <w:sz w:val="22"/>
      <w:szCs w:val="24"/>
      <w:lang w:val="en-US" w:eastAsia="en-US"/>
    </w:rPr>
  </w:style>
  <w:style w:type="character" w:styleId="UnresolvedMention">
    <w:name w:val="Unresolved Mention"/>
    <w:basedOn w:val="DefaultParagraphFont"/>
    <w:uiPriority w:val="99"/>
    <w:semiHidden/>
    <w:unhideWhenUsed/>
    <w:rsid w:val="00E15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27320">
      <w:bodyDiv w:val="1"/>
      <w:marLeft w:val="0"/>
      <w:marRight w:val="0"/>
      <w:marTop w:val="0"/>
      <w:marBottom w:val="0"/>
      <w:divBdr>
        <w:top w:val="none" w:sz="0" w:space="0" w:color="auto"/>
        <w:left w:val="none" w:sz="0" w:space="0" w:color="auto"/>
        <w:bottom w:val="none" w:sz="0" w:space="0" w:color="auto"/>
        <w:right w:val="none" w:sz="0" w:space="0" w:color="auto"/>
      </w:divBdr>
    </w:div>
    <w:div w:id="1222864245">
      <w:bodyDiv w:val="1"/>
      <w:marLeft w:val="0"/>
      <w:marRight w:val="0"/>
      <w:marTop w:val="0"/>
      <w:marBottom w:val="0"/>
      <w:divBdr>
        <w:top w:val="none" w:sz="0" w:space="0" w:color="auto"/>
        <w:left w:val="none" w:sz="0" w:space="0" w:color="auto"/>
        <w:bottom w:val="none" w:sz="0" w:space="0" w:color="auto"/>
        <w:right w:val="none" w:sz="0" w:space="0" w:color="auto"/>
      </w:divBdr>
    </w:div>
    <w:div w:id="1478379509">
      <w:bodyDiv w:val="1"/>
      <w:marLeft w:val="0"/>
      <w:marRight w:val="0"/>
      <w:marTop w:val="0"/>
      <w:marBottom w:val="0"/>
      <w:divBdr>
        <w:top w:val="none" w:sz="0" w:space="0" w:color="auto"/>
        <w:left w:val="none" w:sz="0" w:space="0" w:color="auto"/>
        <w:bottom w:val="none" w:sz="0" w:space="0" w:color="auto"/>
        <w:right w:val="none" w:sz="0" w:space="0" w:color="auto"/>
      </w:divBdr>
    </w:div>
    <w:div w:id="162433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ace.library.uq.edu.au/data/UQ_4c26854/s42789538_final_thesis.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5D6261-2C06-4B99-A8F2-56F2FD966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834</Words>
  <Characters>4758</Characters>
  <Application>Microsoft Office Word</Application>
  <DocSecurity>0</DocSecurity>
  <Lines>39</Lines>
  <Paragraphs>11</Paragraphs>
  <ScaleCrop>false</ScaleCrop>
  <HeadingPairs>
    <vt:vector size="6" baseType="variant">
      <vt:variant>
        <vt:lpstr>Title</vt:lpstr>
      </vt:variant>
      <vt:variant>
        <vt:i4>1</vt:i4>
      </vt:variant>
      <vt:variant>
        <vt:lpstr>Tytuł</vt:lpstr>
      </vt:variant>
      <vt:variant>
        <vt:i4>1</vt:i4>
      </vt:variant>
      <vt:variant>
        <vt:lpstr>Konu Başlığı</vt:lpstr>
      </vt:variant>
      <vt:variant>
        <vt:i4>1</vt:i4>
      </vt:variant>
    </vt:vector>
  </HeadingPairs>
  <TitlesOfParts>
    <vt:vector size="3" baseType="lpstr">
      <vt:lpstr>CATE/IAEVG Abstract</vt:lpstr>
      <vt:lpstr>Sample Extended Abstract</vt:lpstr>
      <vt:lpstr>Sample Extended Abstract</vt:lpstr>
    </vt:vector>
  </TitlesOfParts>
  <Company>NMIT</Company>
  <LinksUpToDate>false</LinksUpToDate>
  <CharactersWithSpaces>5581</CharactersWithSpaces>
  <SharedDoc>false</SharedDoc>
  <HLinks>
    <vt:vector size="6" baseType="variant">
      <vt:variant>
        <vt:i4>3014748</vt:i4>
      </vt:variant>
      <vt:variant>
        <vt:i4>0</vt:i4>
      </vt:variant>
      <vt:variant>
        <vt:i4>0</vt:i4>
      </vt:variant>
      <vt:variant>
        <vt:i4>5</vt:i4>
      </vt:variant>
      <vt:variant>
        <vt:lpwstr>http://www.chicagomanualofstyle.org/tools_citationguide.html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CATE/IAEVG Abstract</dc:title>
  <dc:creator>Sam Young</dc:creator>
  <cp:lastModifiedBy>Sam Young</cp:lastModifiedBy>
  <cp:revision>6</cp:revision>
  <cp:lastPrinted>2013-06-19T14:48:00Z</cp:lastPrinted>
  <dcterms:created xsi:type="dcterms:W3CDTF">2026-04-19T00:01:00Z</dcterms:created>
  <dcterms:modified xsi:type="dcterms:W3CDTF">2026-04-19T01:33:00Z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565ab1fd7472d6d6e1de2d6d4f3f983e17b1708694b3523858f780cd45a8f61b</vt:lpwstr>
  </property>
</Properties>
</file>