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3E4CB" w14:textId="5D98DFF6" w:rsidR="00400164" w:rsidRDefault="00400164" w:rsidP="00400164">
      <w:pPr>
        <w:spacing w:before="100" w:beforeAutospacing="1" w:after="100" w:afterAutospacing="1" w:line="360" w:lineRule="auto"/>
        <w:rPr>
          <w:rFonts w:ascii="Calibri" w:eastAsia="Times New Roman" w:hAnsi="Calibri" w:cs="Calibri"/>
          <w:b/>
          <w:bCs/>
          <w:color w:val="000000"/>
          <w:kern w:val="0"/>
          <w:sz w:val="22"/>
          <w:szCs w:val="22"/>
          <w:lang w:val="en-CA" w:eastAsia="fr-CA"/>
          <w14:ligatures w14:val="none"/>
        </w:rPr>
      </w:pPr>
      <w:r w:rsidRPr="00400164">
        <w:rPr>
          <w:rFonts w:ascii="Calibri" w:eastAsia="Times New Roman" w:hAnsi="Calibri" w:cs="Calibri"/>
          <w:b/>
          <w:bCs/>
          <w:color w:val="000000"/>
          <w:kern w:val="0"/>
          <w:sz w:val="22"/>
          <w:szCs w:val="22"/>
          <w:lang w:val="en-CA" w:eastAsia="fr-CA"/>
          <w14:ligatures w14:val="none"/>
        </w:rPr>
        <w:t>Navigating Complexity: Organizational Counselors Managing Workplace Psychological Harassment</w:t>
      </w:r>
    </w:p>
    <w:p w14:paraId="20A48E35" w14:textId="61BC82E1" w:rsidR="00400164" w:rsidRPr="00400164" w:rsidRDefault="00400164" w:rsidP="00400164">
      <w:pPr>
        <w:spacing w:before="100" w:beforeAutospacing="1" w:after="100" w:afterAutospacing="1" w:line="360" w:lineRule="auto"/>
        <w:rPr>
          <w:rFonts w:ascii="Calibri" w:eastAsia="Times New Roman" w:hAnsi="Calibri" w:cs="Calibri"/>
          <w:b/>
          <w:bCs/>
          <w:color w:val="000000"/>
          <w:kern w:val="0"/>
          <w:sz w:val="22"/>
          <w:szCs w:val="22"/>
          <w:lang w:val="en-CA" w:eastAsia="fr-CA"/>
          <w14:ligatures w14:val="none"/>
        </w:rPr>
      </w:pPr>
      <w:r>
        <w:rPr>
          <w:rFonts w:ascii="Calibri" w:eastAsia="Times New Roman" w:hAnsi="Calibri" w:cs="Calibri"/>
          <w:b/>
          <w:bCs/>
          <w:color w:val="000000"/>
          <w:kern w:val="0"/>
          <w:sz w:val="22"/>
          <w:szCs w:val="22"/>
          <w:lang w:val="en-CA" w:eastAsia="fr-CA"/>
          <w14:ligatures w14:val="none"/>
        </w:rPr>
        <w:t xml:space="preserve">Keywords: Workplace psychological harassment, </w:t>
      </w:r>
      <w:r w:rsidR="001D7121">
        <w:rPr>
          <w:rFonts w:ascii="Calibri" w:eastAsia="Times New Roman" w:hAnsi="Calibri" w:cs="Calibri"/>
          <w:b/>
          <w:bCs/>
          <w:color w:val="000000"/>
          <w:kern w:val="0"/>
          <w:sz w:val="22"/>
          <w:szCs w:val="22"/>
          <w:lang w:val="en-CA" w:eastAsia="fr-CA"/>
          <w14:ligatures w14:val="none"/>
        </w:rPr>
        <w:t>r</w:t>
      </w:r>
      <w:r>
        <w:rPr>
          <w:rFonts w:ascii="Calibri" w:eastAsia="Times New Roman" w:hAnsi="Calibri" w:cs="Calibri"/>
          <w:b/>
          <w:bCs/>
          <w:color w:val="000000"/>
          <w:kern w:val="0"/>
          <w:sz w:val="22"/>
          <w:szCs w:val="22"/>
          <w:lang w:val="en-CA" w:eastAsia="fr-CA"/>
          <w14:ligatures w14:val="none"/>
        </w:rPr>
        <w:t xml:space="preserve">eturn to work, </w:t>
      </w:r>
      <w:r w:rsidR="00CD622E">
        <w:rPr>
          <w:rFonts w:ascii="Calibri" w:eastAsia="Times New Roman" w:hAnsi="Calibri" w:cs="Calibri"/>
          <w:b/>
          <w:bCs/>
          <w:color w:val="000000"/>
          <w:kern w:val="0"/>
          <w:sz w:val="22"/>
          <w:szCs w:val="22"/>
          <w:lang w:val="en-CA" w:eastAsia="fr-CA"/>
          <w14:ligatures w14:val="none"/>
        </w:rPr>
        <w:t>o</w:t>
      </w:r>
      <w:r>
        <w:rPr>
          <w:rFonts w:ascii="Calibri" w:eastAsia="Times New Roman" w:hAnsi="Calibri" w:cs="Calibri"/>
          <w:b/>
          <w:bCs/>
          <w:color w:val="000000"/>
          <w:kern w:val="0"/>
          <w:sz w:val="22"/>
          <w:szCs w:val="22"/>
          <w:lang w:val="en-CA" w:eastAsia="fr-CA"/>
          <w14:ligatures w14:val="none"/>
        </w:rPr>
        <w:t>rganisational counselors</w:t>
      </w:r>
    </w:p>
    <w:p w14:paraId="58FA8489" w14:textId="5F46DD24" w:rsidR="00E279CE" w:rsidRPr="00B11F0A" w:rsidRDefault="00E279CE" w:rsidP="008736B0">
      <w:pPr>
        <w:spacing w:before="240" w:after="240"/>
        <w:jc w:val="both"/>
        <w:rPr>
          <w:rFonts w:ascii="Calibri" w:eastAsia="Times New Roman" w:hAnsi="Calibri" w:cs="Calibri"/>
          <w:sz w:val="22"/>
          <w:szCs w:val="22"/>
          <w:lang w:val="en-CA"/>
        </w:rPr>
      </w:pPr>
      <w:r w:rsidRPr="00B11F0A">
        <w:rPr>
          <w:rFonts w:ascii="Calibri" w:eastAsia="Times New Roman" w:hAnsi="Calibri" w:cs="Calibri"/>
          <w:b/>
          <w:bCs/>
          <w:sz w:val="22"/>
          <w:szCs w:val="22"/>
          <w:lang w:val="en-CA"/>
        </w:rPr>
        <w:t xml:space="preserve">Laurin, Lély-Rose, </w:t>
      </w:r>
      <w:r w:rsidR="00400164" w:rsidRPr="00B11F0A">
        <w:rPr>
          <w:rFonts w:ascii="Calibri" w:eastAsia="Times New Roman" w:hAnsi="Calibri" w:cs="Calibri"/>
          <w:b/>
          <w:bCs/>
          <w:sz w:val="22"/>
          <w:szCs w:val="22"/>
          <w:lang w:val="en-CA"/>
        </w:rPr>
        <w:t>Pelletier, Mariève</w:t>
      </w:r>
    </w:p>
    <w:p w14:paraId="551B20DA" w14:textId="1DDEE35A" w:rsidR="00400164" w:rsidRPr="00400164" w:rsidRDefault="00400164" w:rsidP="00400164">
      <w:pPr>
        <w:pStyle w:val="NormalWeb"/>
        <w:spacing w:line="360" w:lineRule="auto"/>
        <w:jc w:val="both"/>
        <w:rPr>
          <w:rFonts w:ascii="Calibri" w:hAnsi="Calibri" w:cs="Calibri"/>
          <w:color w:val="000000"/>
          <w:sz w:val="22"/>
          <w:szCs w:val="22"/>
          <w:lang w:val="en-CA"/>
        </w:rPr>
      </w:pPr>
      <w:r w:rsidRPr="00400164">
        <w:rPr>
          <w:rFonts w:ascii="Calibri" w:hAnsi="Calibri" w:cs="Calibri"/>
          <w:color w:val="000000"/>
          <w:sz w:val="22"/>
          <w:szCs w:val="22"/>
          <w:lang w:val="en-CA"/>
        </w:rPr>
        <w:t xml:space="preserve">Workplace psychological harassment (WPH) is recognized as a major work-related risk with harmful effects on individuals’ mental health, well-being, and career trajectories </w:t>
      </w:r>
      <w:r w:rsidRPr="00400164">
        <w:rPr>
          <w:rFonts w:ascii="Calibri" w:hAnsi="Calibri" w:cs="Calibri"/>
          <w:color w:val="000000"/>
          <w:sz w:val="22"/>
          <w:szCs w:val="22"/>
          <w:lang w:val="en-CA"/>
        </w:rPr>
        <w:fldChar w:fldCharType="begin"/>
      </w:r>
      <w:r w:rsidRPr="00400164">
        <w:rPr>
          <w:rFonts w:ascii="Calibri" w:hAnsi="Calibri" w:cs="Calibri"/>
          <w:color w:val="000000"/>
          <w:sz w:val="22"/>
          <w:szCs w:val="22"/>
          <w:lang w:val="en-CA"/>
        </w:rPr>
        <w:instrText xml:space="preserve"> ADDIN ZOTERO_ITEM CSL_CITATION {"citationID":"8hLAaa1Y","properties":{"unsorted":false,"formattedCitation":"(Tissot et al., 2022)","plainCitation":"(Tissot et al., 2022)","noteIndex":0},"citationItems":[{"id":42,"uris":["http://zotero.org/users/18659630/items/BMW8ULV5"],"itemData":{"id":42,"type":"article-journal","language":"fr","source":"Zotero","title":"Les déterminants de la détresse psychologique élevée liée au travail : résultats de l’Enquête québécoise sur la santé de la population, 2014-2015","author":[{"family":"Tissot","given":"France"},{"family":"Jauvin","given":"Nathalie"},{"family":"Vézina","given":"Michel"}],"issued":{"date-parts":[["2022"]]}}}],"schema":"https://github.com/citation-style-language/schema/raw/master/csl-citation.json"} </w:instrText>
      </w:r>
      <w:r w:rsidRPr="00400164">
        <w:rPr>
          <w:rFonts w:ascii="Calibri" w:hAnsi="Calibri" w:cs="Calibri"/>
          <w:color w:val="000000"/>
          <w:sz w:val="22"/>
          <w:szCs w:val="22"/>
          <w:lang w:val="en-CA"/>
        </w:rPr>
        <w:fldChar w:fldCharType="separate"/>
      </w:r>
      <w:r w:rsidRPr="00400164">
        <w:rPr>
          <w:rFonts w:ascii="Calibri" w:hAnsi="Calibri" w:cs="Calibri"/>
          <w:noProof/>
          <w:color w:val="000000"/>
          <w:sz w:val="22"/>
          <w:szCs w:val="22"/>
          <w:lang w:val="en-CA"/>
        </w:rPr>
        <w:t>(Tissot et al., 2022)</w:t>
      </w:r>
      <w:r w:rsidRPr="00400164">
        <w:rPr>
          <w:rFonts w:ascii="Calibri" w:hAnsi="Calibri" w:cs="Calibri"/>
          <w:color w:val="000000"/>
          <w:sz w:val="22"/>
          <w:szCs w:val="22"/>
          <w:lang w:val="en-CA"/>
        </w:rPr>
        <w:fldChar w:fldCharType="end"/>
      </w:r>
      <w:r w:rsidRPr="00400164">
        <w:rPr>
          <w:rFonts w:ascii="Calibri" w:hAnsi="Calibri" w:cs="Calibri"/>
          <w:color w:val="000000"/>
          <w:sz w:val="22"/>
          <w:szCs w:val="22"/>
          <w:lang w:val="en-CA"/>
        </w:rPr>
        <w:t xml:space="preserve">. Individuals exposed to WPH are at increased risk of psychological distress, occupational burnout </w:t>
      </w:r>
      <w:r w:rsidRPr="00400164">
        <w:rPr>
          <w:rStyle w:val="normaltextrun"/>
          <w:rFonts w:ascii="Calibri" w:hAnsi="Calibri" w:cs="Calibri"/>
          <w:sz w:val="22"/>
          <w:szCs w:val="22"/>
          <w:lang w:val="en-CA"/>
        </w:rPr>
        <w:t>(Pelletier &amp; al., 2025;</w:t>
      </w:r>
      <w:r w:rsidRPr="00400164">
        <w:rPr>
          <w:rStyle w:val="apple-converted-space"/>
          <w:rFonts w:ascii="Calibri" w:hAnsi="Calibri" w:cs="Calibri"/>
          <w:sz w:val="22"/>
          <w:szCs w:val="22"/>
          <w:lang w:val="en-CA"/>
        </w:rPr>
        <w:t> </w:t>
      </w:r>
      <w:proofErr w:type="spellStart"/>
      <w:r w:rsidRPr="00400164">
        <w:rPr>
          <w:rStyle w:val="normaltextrun"/>
          <w:rFonts w:ascii="Calibri" w:hAnsi="Calibri" w:cs="Calibri"/>
          <w:sz w:val="22"/>
          <w:szCs w:val="22"/>
          <w:lang w:val="en-CA"/>
        </w:rPr>
        <w:t>Caraso</w:t>
      </w:r>
      <w:proofErr w:type="spellEnd"/>
      <w:r w:rsidRPr="00400164">
        <w:rPr>
          <w:rStyle w:val="apple-converted-space"/>
          <w:rFonts w:ascii="Calibri" w:hAnsi="Calibri" w:cs="Calibri"/>
          <w:sz w:val="22"/>
          <w:szCs w:val="22"/>
          <w:lang w:val="en-CA"/>
        </w:rPr>
        <w:t> </w:t>
      </w:r>
      <w:r w:rsidRPr="00400164">
        <w:rPr>
          <w:rStyle w:val="normaltextrun"/>
          <w:rFonts w:ascii="Calibri" w:hAnsi="Calibri" w:cs="Calibri"/>
          <w:sz w:val="22"/>
          <w:szCs w:val="22"/>
          <w:lang w:val="en-CA"/>
        </w:rPr>
        <w:t>&amp; al., 2021;</w:t>
      </w:r>
      <w:r w:rsidRPr="00400164">
        <w:rPr>
          <w:rStyle w:val="apple-converted-space"/>
          <w:rFonts w:ascii="Calibri" w:hAnsi="Calibri" w:cs="Calibri"/>
          <w:sz w:val="22"/>
          <w:szCs w:val="22"/>
          <w:lang w:val="en-CA"/>
        </w:rPr>
        <w:t> </w:t>
      </w:r>
      <w:proofErr w:type="spellStart"/>
      <w:r w:rsidRPr="00400164">
        <w:rPr>
          <w:rStyle w:val="normaltextrun"/>
          <w:rFonts w:ascii="Calibri" w:hAnsi="Calibri" w:cs="Calibri"/>
          <w:sz w:val="22"/>
          <w:szCs w:val="22"/>
          <w:lang w:val="en-CA"/>
        </w:rPr>
        <w:t>Gullander</w:t>
      </w:r>
      <w:proofErr w:type="spellEnd"/>
      <w:r w:rsidRPr="00400164">
        <w:rPr>
          <w:rStyle w:val="apple-converted-space"/>
          <w:rFonts w:ascii="Calibri" w:hAnsi="Calibri" w:cs="Calibri"/>
          <w:sz w:val="22"/>
          <w:szCs w:val="22"/>
          <w:lang w:val="en-CA"/>
        </w:rPr>
        <w:t> </w:t>
      </w:r>
      <w:r w:rsidRPr="00400164">
        <w:rPr>
          <w:rStyle w:val="normaltextrun"/>
          <w:rFonts w:ascii="Calibri" w:hAnsi="Calibri" w:cs="Calibri"/>
          <w:sz w:val="22"/>
          <w:szCs w:val="22"/>
          <w:lang w:val="en-CA"/>
        </w:rPr>
        <w:t>&amp; al., 2014; Kivimäki &amp; al., 2003;</w:t>
      </w:r>
      <w:r w:rsidRPr="00400164">
        <w:rPr>
          <w:rStyle w:val="apple-converted-space"/>
          <w:rFonts w:ascii="Calibri" w:hAnsi="Calibri" w:cs="Calibri"/>
          <w:sz w:val="22"/>
          <w:szCs w:val="22"/>
          <w:lang w:val="en-CA"/>
        </w:rPr>
        <w:t> </w:t>
      </w:r>
      <w:proofErr w:type="spellStart"/>
      <w:r w:rsidRPr="00400164">
        <w:rPr>
          <w:rStyle w:val="normaltextrun"/>
          <w:rFonts w:ascii="Calibri" w:hAnsi="Calibri" w:cs="Calibri"/>
          <w:sz w:val="22"/>
          <w:szCs w:val="22"/>
          <w:lang w:val="en-CA"/>
        </w:rPr>
        <w:t>Rugulies</w:t>
      </w:r>
      <w:proofErr w:type="spellEnd"/>
      <w:r w:rsidRPr="00400164">
        <w:rPr>
          <w:rStyle w:val="normaltextrun"/>
          <w:rFonts w:ascii="Calibri" w:hAnsi="Calibri" w:cs="Calibri"/>
          <w:sz w:val="22"/>
          <w:szCs w:val="22"/>
          <w:lang w:val="en-CA"/>
        </w:rPr>
        <w:t xml:space="preserve"> &amp; al., 2012)</w:t>
      </w:r>
      <w:r w:rsidRPr="00400164">
        <w:rPr>
          <w:rFonts w:ascii="Calibri" w:hAnsi="Calibri" w:cs="Calibri"/>
          <w:color w:val="000000"/>
          <w:sz w:val="22"/>
          <w:szCs w:val="22"/>
          <w:lang w:val="en-CA"/>
        </w:rPr>
        <w:t xml:space="preserve">, and prolonged work absences (Nielsen &amp; al., 2016; Hauge &amp; al., 2010), as well as significant difficulties when returning to work (Aarestad &amp; al., 2021; Coetzee &amp; Van Dyk, 2018; </w:t>
      </w:r>
      <w:proofErr w:type="spellStart"/>
      <w:r w:rsidRPr="00400164">
        <w:rPr>
          <w:rFonts w:ascii="Calibri" w:hAnsi="Calibri" w:cs="Calibri"/>
          <w:color w:val="000000"/>
          <w:sz w:val="22"/>
          <w:szCs w:val="22"/>
          <w:lang w:val="en-CA"/>
        </w:rPr>
        <w:t>Glambek</w:t>
      </w:r>
      <w:proofErr w:type="spellEnd"/>
      <w:r w:rsidRPr="00400164">
        <w:rPr>
          <w:rFonts w:ascii="Calibri" w:hAnsi="Calibri" w:cs="Calibri"/>
          <w:color w:val="000000"/>
          <w:sz w:val="22"/>
          <w:szCs w:val="22"/>
          <w:lang w:val="en-CA"/>
        </w:rPr>
        <w:t xml:space="preserve"> &amp; al., 2015). While recent research has increasingly focused on organizational practices that support return-to-work processes </w:t>
      </w:r>
      <w:r w:rsidRPr="00400164">
        <w:rPr>
          <w:rFonts w:ascii="Calibri" w:eastAsia="Times New Roman" w:hAnsi="Calibri" w:cs="Calibri"/>
          <w:sz w:val="22"/>
          <w:szCs w:val="22"/>
          <w:lang w:val="en-CA"/>
        </w:rPr>
        <w:t>(St</w:t>
      </w:r>
      <w:r w:rsidRPr="00400164">
        <w:rPr>
          <w:rFonts w:ascii="Cambria Math" w:eastAsia="Times New Roman" w:hAnsi="Cambria Math" w:cs="Cambria Math"/>
          <w:sz w:val="22"/>
          <w:szCs w:val="22"/>
          <w:lang w:val="en-CA"/>
        </w:rPr>
        <w:t>‑</w:t>
      </w:r>
      <w:r w:rsidRPr="00400164">
        <w:rPr>
          <w:rFonts w:ascii="Calibri" w:eastAsia="Times New Roman" w:hAnsi="Calibri" w:cs="Calibri"/>
          <w:sz w:val="22"/>
          <w:szCs w:val="22"/>
          <w:lang w:val="en-CA"/>
        </w:rPr>
        <w:t xml:space="preserve">Arnaud &amp; Pelletier, 2013; Nigatu &amp; al., 2016; Pelletier &amp; </w:t>
      </w:r>
      <w:proofErr w:type="spellStart"/>
      <w:r w:rsidRPr="00400164">
        <w:rPr>
          <w:rFonts w:ascii="Calibri" w:eastAsia="Times New Roman" w:hAnsi="Calibri" w:cs="Calibri"/>
          <w:sz w:val="22"/>
          <w:szCs w:val="22"/>
          <w:lang w:val="en-CA"/>
        </w:rPr>
        <w:t>Giguère</w:t>
      </w:r>
      <w:proofErr w:type="spellEnd"/>
      <w:r w:rsidRPr="00400164">
        <w:rPr>
          <w:rFonts w:ascii="Calibri" w:eastAsia="Times New Roman" w:hAnsi="Calibri" w:cs="Calibri"/>
          <w:sz w:val="22"/>
          <w:szCs w:val="22"/>
          <w:lang w:val="en-CA"/>
        </w:rPr>
        <w:t>, 2026)</w:t>
      </w:r>
      <w:r w:rsidRPr="00400164">
        <w:rPr>
          <w:rFonts w:ascii="Calibri" w:hAnsi="Calibri" w:cs="Calibri"/>
          <w:color w:val="000000"/>
          <w:sz w:val="22"/>
          <w:szCs w:val="22"/>
          <w:lang w:val="en-CA"/>
        </w:rPr>
        <w:t>, the professional realities of organizational counselors responsible for managing these situations remain underexplored.</w:t>
      </w:r>
      <w:r>
        <w:rPr>
          <w:rFonts w:ascii="Calibri" w:hAnsi="Calibri" w:cs="Calibri"/>
          <w:color w:val="000000"/>
          <w:sz w:val="22"/>
          <w:szCs w:val="22"/>
          <w:lang w:val="en-CA"/>
        </w:rPr>
        <w:t xml:space="preserve"> Objective:  </w:t>
      </w:r>
      <w:r w:rsidRPr="00400164">
        <w:rPr>
          <w:rFonts w:ascii="Calibri" w:hAnsi="Calibri" w:cs="Calibri"/>
          <w:color w:val="000000"/>
          <w:sz w:val="22"/>
          <w:szCs w:val="22"/>
          <w:lang w:val="en-CA"/>
        </w:rPr>
        <w:t xml:space="preserve">This presentation aims to document the main challenges and issues encountered by organizational counselors involved in managing disability leaves and return-to-work processes in cases of workplace psychological harassment. It focuses specifically on the tensions, constraints, and areas of complexity that emerge throughout the process, from the initial work absence to the return to work. </w:t>
      </w:r>
      <w:r>
        <w:rPr>
          <w:rFonts w:ascii="Calibri" w:hAnsi="Calibri" w:cs="Calibri"/>
          <w:color w:val="000000"/>
          <w:sz w:val="22"/>
          <w:szCs w:val="22"/>
          <w:lang w:val="en-CA"/>
        </w:rPr>
        <w:t xml:space="preserve">Theoretical framework: </w:t>
      </w:r>
      <w:r w:rsidRPr="00400164">
        <w:rPr>
          <w:rFonts w:ascii="Calibri" w:hAnsi="Calibri" w:cs="Calibri"/>
          <w:color w:val="000000"/>
          <w:sz w:val="22"/>
          <w:szCs w:val="22"/>
          <w:lang w:val="en-CA"/>
        </w:rPr>
        <w:t xml:space="preserve">This study is grounded in the conceptual framework of the dynamic process of recovery and return to work (St-Arnaud &amp; Pelletier, 2013), which is used to </w:t>
      </w:r>
      <w:r w:rsidRPr="00400164">
        <w:rPr>
          <w:rFonts w:ascii="Calibri" w:hAnsi="Calibri" w:cs="Calibri"/>
          <w:sz w:val="22"/>
          <w:szCs w:val="22"/>
          <w:shd w:val="clear" w:color="auto" w:fill="FFFFFF"/>
          <w:lang w:val="en-CA"/>
        </w:rPr>
        <w:t>understand how work lies at the heart of withdrawal and reintegration trajectories. Organizational support practices were conceptualized using the IGLOO model for return to work among people experiencing mental health issues (Nielsen &amp; al., 2020).</w:t>
      </w:r>
      <w:r>
        <w:rPr>
          <w:rFonts w:ascii="Calibri" w:hAnsi="Calibri" w:cs="Calibri"/>
          <w:sz w:val="22"/>
          <w:szCs w:val="22"/>
          <w:shd w:val="clear" w:color="auto" w:fill="FFFFFF"/>
          <w:lang w:val="en-CA"/>
        </w:rPr>
        <w:t xml:space="preserve"> </w:t>
      </w:r>
      <w:r>
        <w:rPr>
          <w:rFonts w:ascii="Calibri" w:hAnsi="Calibri" w:cs="Calibri"/>
          <w:color w:val="000000"/>
          <w:sz w:val="22"/>
          <w:szCs w:val="22"/>
          <w:lang w:val="en-CA"/>
        </w:rPr>
        <w:t xml:space="preserve">Method: </w:t>
      </w:r>
      <w:r w:rsidRPr="00400164">
        <w:rPr>
          <w:rFonts w:ascii="Calibri" w:hAnsi="Calibri" w:cs="Calibri"/>
          <w:color w:val="000000"/>
          <w:sz w:val="22"/>
          <w:szCs w:val="22"/>
          <w:lang w:val="en-CA"/>
        </w:rPr>
        <w:t xml:space="preserve">A qualitative research design was used. Data were collected between 2024 and 2025 through individual and group interviews conducted with </w:t>
      </w:r>
      <w:r w:rsidR="00B11F0A">
        <w:rPr>
          <w:rFonts w:ascii="Calibri" w:hAnsi="Calibri" w:cs="Calibri"/>
          <w:color w:val="000000"/>
          <w:sz w:val="22"/>
          <w:szCs w:val="22"/>
          <w:lang w:val="en-CA"/>
        </w:rPr>
        <w:t xml:space="preserve">8 </w:t>
      </w:r>
      <w:r w:rsidRPr="00400164">
        <w:rPr>
          <w:rFonts w:ascii="Calibri" w:hAnsi="Calibri" w:cs="Calibri"/>
          <w:color w:val="000000"/>
          <w:sz w:val="22"/>
          <w:szCs w:val="22"/>
          <w:lang w:val="en-CA"/>
        </w:rPr>
        <w:t>organizational counselors from various sectors who are involved in disability management and return-to-work processes. A thematic content analysis was performed to identify the main challenges experienced by these professionals (</w:t>
      </w:r>
      <w:proofErr w:type="spellStart"/>
      <w:r w:rsidRPr="00400164">
        <w:rPr>
          <w:rFonts w:ascii="Calibri" w:hAnsi="Calibri" w:cs="Calibri"/>
          <w:color w:val="000000"/>
          <w:sz w:val="22"/>
          <w:szCs w:val="22"/>
          <w:lang w:val="en-CA"/>
        </w:rPr>
        <w:t>Paillé</w:t>
      </w:r>
      <w:proofErr w:type="spellEnd"/>
      <w:r w:rsidRPr="00400164">
        <w:rPr>
          <w:rFonts w:ascii="Calibri" w:hAnsi="Calibri" w:cs="Calibri"/>
          <w:color w:val="000000"/>
          <w:sz w:val="22"/>
          <w:szCs w:val="22"/>
          <w:lang w:val="en-CA"/>
        </w:rPr>
        <w:t xml:space="preserve"> &amp; </w:t>
      </w:r>
      <w:proofErr w:type="spellStart"/>
      <w:r w:rsidRPr="00400164">
        <w:rPr>
          <w:rFonts w:ascii="Calibri" w:hAnsi="Calibri" w:cs="Calibri"/>
          <w:color w:val="000000"/>
          <w:sz w:val="22"/>
          <w:szCs w:val="22"/>
          <w:lang w:val="en-CA"/>
        </w:rPr>
        <w:t>Mucchielli</w:t>
      </w:r>
      <w:proofErr w:type="spellEnd"/>
      <w:r w:rsidRPr="00400164">
        <w:rPr>
          <w:rFonts w:ascii="Calibri" w:hAnsi="Calibri" w:cs="Calibri"/>
          <w:color w:val="000000"/>
          <w:sz w:val="22"/>
          <w:szCs w:val="22"/>
          <w:lang w:val="en-CA"/>
        </w:rPr>
        <w:t>, 2021).</w:t>
      </w:r>
      <w:r>
        <w:rPr>
          <w:rFonts w:ascii="Calibri" w:hAnsi="Calibri" w:cs="Calibri"/>
          <w:color w:val="000000"/>
          <w:sz w:val="22"/>
          <w:szCs w:val="22"/>
          <w:lang w:val="en-CA"/>
        </w:rPr>
        <w:t xml:space="preserve"> Results: </w:t>
      </w:r>
      <w:r w:rsidRPr="00400164">
        <w:rPr>
          <w:rFonts w:ascii="Calibri" w:hAnsi="Calibri" w:cs="Calibri"/>
          <w:color w:val="000000"/>
          <w:sz w:val="22"/>
          <w:szCs w:val="22"/>
          <w:lang w:val="en-CA"/>
        </w:rPr>
        <w:t xml:space="preserve">The findings highlight the significant complexity of these situations, characterized by the overlap of administrative, relational, legal, and organizational challenges. A key issue concerns limited access to a complete understanding of situations, as harassment is often disclosed progressively or only partially during periods of </w:t>
      </w:r>
      <w:r w:rsidRPr="00400164">
        <w:rPr>
          <w:rFonts w:ascii="Calibri" w:hAnsi="Calibri" w:cs="Calibri"/>
          <w:color w:val="000000"/>
          <w:sz w:val="22"/>
          <w:szCs w:val="22"/>
          <w:lang w:val="en-CA"/>
        </w:rPr>
        <w:lastRenderedPageBreak/>
        <w:t>absence. This contributes to a persistent ambiguity between psychological harassment, interpersonal conflict, and managerial authority, making analysis and decision-making particularly difficult. The results also point to a fragmentation of roles within organizations, where responsibilities related to disability management, investigations, and labor relations are distributed across multiple actors. In this context, counselors play a central liaison role but operate with limited decision-making power, which can restrict their capacity to intervene effectively. Prolonged absence further weakens the relationship between the employee and the organization, often leading to mistrust, disengagement, and a risk of employment rupture. Additional challenges include confidentiality constraints, difficulties conducting investigations during absence, legal and union-related requirements, and the erosion of factual clarity over time. The emotional demands associated with these situations are also substantial, as counselors must navigate divergent perspectives and sensitive relational dynamics. The return-to-work phase emerges as a critical moment, often marked by expectations of change that are difficult to reconcile with organizational realities, particularly when limitations are psychological or relational in nature. Despite these challenges, several promising practices were identified, including individualized support, organizational flexibility, and structured follow-up. These findings contribute to a better understanding of the complex and often underrecognized role of organizational counselors in managing workplace psychological harassment situations. They highlight the need to strengthen organizational support, develop clearer guidelines, and provide targeted training to better equip these professionals to navigate the ethical, relational, and structural demands of their role, ultimately supporting more sustainable and adapted return-to-work trajectories.</w:t>
      </w:r>
    </w:p>
    <w:p w14:paraId="58E29C58" w14:textId="43817D6E" w:rsidR="00400164" w:rsidRPr="00400164" w:rsidRDefault="00400164" w:rsidP="00400164">
      <w:pPr>
        <w:pStyle w:val="NormalWeb"/>
        <w:spacing w:line="360" w:lineRule="auto"/>
        <w:jc w:val="both"/>
        <w:rPr>
          <w:rFonts w:ascii="Calibri" w:hAnsi="Calibri" w:cs="Calibri"/>
          <w:color w:val="000000"/>
          <w:sz w:val="22"/>
          <w:szCs w:val="22"/>
          <w:lang w:val="en-CA"/>
        </w:rPr>
      </w:pPr>
      <w:r w:rsidRPr="00400164">
        <w:rPr>
          <w:rFonts w:ascii="Calibri" w:hAnsi="Calibri" w:cs="Calibri"/>
          <w:color w:val="000000"/>
          <w:sz w:val="22"/>
          <w:szCs w:val="22"/>
          <w:lang w:val="en-CA"/>
        </w:rPr>
        <w:t xml:space="preserve">References </w:t>
      </w:r>
    </w:p>
    <w:p w14:paraId="02A5A74C" w14:textId="77777777" w:rsidR="00CD0120" w:rsidRPr="00400164" w:rsidRDefault="00CD0120" w:rsidP="00400164">
      <w:pPr>
        <w:spacing w:before="200" w:after="0" w:line="360" w:lineRule="auto"/>
        <w:ind w:left="360" w:hanging="360"/>
        <w:jc w:val="both"/>
        <w:rPr>
          <w:rFonts w:ascii="Calibri" w:eastAsia="Calibri" w:hAnsi="Calibri" w:cs="Calibri"/>
          <w:color w:val="212121"/>
          <w:sz w:val="22"/>
          <w:szCs w:val="22"/>
          <w:lang w:val="en-CA"/>
        </w:rPr>
      </w:pPr>
      <w:r w:rsidRPr="00400164">
        <w:rPr>
          <w:rFonts w:ascii="Calibri" w:eastAsia="Calibri" w:hAnsi="Calibri" w:cs="Calibri"/>
          <w:color w:val="212121"/>
          <w:sz w:val="22"/>
          <w:szCs w:val="22"/>
          <w:lang w:val="en-CA"/>
        </w:rPr>
        <w:t xml:space="preserve">Aarestad, S. H., Harris, A., Einarsen, S. V., Gjengedal, R. G. H., Osnes, K., Hannisdal, M., &amp; Hjemdal, O. (2021). Exposure to bullying behaviours, resilience, and return to work self-efficacy in patients on or at risk of sick leave. </w:t>
      </w:r>
      <w:r w:rsidRPr="00400164">
        <w:rPr>
          <w:rFonts w:ascii="Calibri" w:eastAsia="Calibri" w:hAnsi="Calibri" w:cs="Calibri"/>
          <w:i/>
          <w:iCs/>
          <w:color w:val="212121"/>
          <w:sz w:val="22"/>
          <w:szCs w:val="22"/>
          <w:lang w:val="en-CA"/>
        </w:rPr>
        <w:t>Industrial Health</w:t>
      </w:r>
      <w:r w:rsidRPr="00400164">
        <w:rPr>
          <w:rFonts w:ascii="Calibri" w:eastAsia="Calibri" w:hAnsi="Calibri" w:cs="Calibri"/>
          <w:color w:val="212121"/>
          <w:sz w:val="22"/>
          <w:szCs w:val="22"/>
          <w:lang w:val="en-CA"/>
        </w:rPr>
        <w:t xml:space="preserve">, </w:t>
      </w:r>
      <w:r w:rsidRPr="00400164">
        <w:rPr>
          <w:rFonts w:ascii="Calibri" w:eastAsia="Calibri" w:hAnsi="Calibri" w:cs="Calibri"/>
          <w:i/>
          <w:iCs/>
          <w:color w:val="212121"/>
          <w:sz w:val="22"/>
          <w:szCs w:val="22"/>
          <w:lang w:val="en-CA"/>
        </w:rPr>
        <w:t>59</w:t>
      </w:r>
      <w:r w:rsidRPr="00400164">
        <w:rPr>
          <w:rFonts w:ascii="Calibri" w:eastAsia="Calibri" w:hAnsi="Calibri" w:cs="Calibri"/>
          <w:color w:val="212121"/>
          <w:sz w:val="22"/>
          <w:szCs w:val="22"/>
          <w:lang w:val="en-CA"/>
        </w:rPr>
        <w:t xml:space="preserve">(3), 180–192. </w:t>
      </w:r>
      <w:hyperlink r:id="rId9" w:history="1">
        <w:r w:rsidRPr="00400164">
          <w:rPr>
            <w:rStyle w:val="Hyperlien"/>
            <w:rFonts w:ascii="Calibri" w:eastAsia="Calibri" w:hAnsi="Calibri" w:cs="Calibri"/>
            <w:sz w:val="22"/>
            <w:szCs w:val="22"/>
            <w:lang w:val="en-CA"/>
          </w:rPr>
          <w:t>https://doi.org/10.2486/indhealth.2020-0064</w:t>
        </w:r>
      </w:hyperlink>
    </w:p>
    <w:p w14:paraId="070AFDFC" w14:textId="77777777" w:rsidR="00CD0120" w:rsidRPr="00400164" w:rsidRDefault="00CD0120" w:rsidP="00400164">
      <w:pPr>
        <w:pStyle w:val="EndNoteBibliography"/>
        <w:spacing w:before="240" w:line="360" w:lineRule="auto"/>
        <w:ind w:left="360" w:hanging="360"/>
        <w:jc w:val="both"/>
        <w:rPr>
          <w:rFonts w:eastAsia="Calibri"/>
          <w:color w:val="212121"/>
        </w:rPr>
      </w:pPr>
      <w:r w:rsidRPr="00B11F0A">
        <w:rPr>
          <w:rFonts w:eastAsia="Calibri"/>
          <w:color w:val="212121"/>
          <w:lang w:val="en-CA"/>
        </w:rPr>
        <w:t xml:space="preserve">Carazo, S., Pelletier, M., Talbot, D., Jauvin, N., De Serres, G., &amp; Vézina, M. (2022). </w:t>
      </w:r>
      <w:r w:rsidRPr="00400164">
        <w:rPr>
          <w:rFonts w:eastAsia="Calibri"/>
          <w:color w:val="212121"/>
        </w:rPr>
        <w:t xml:space="preserve">Psychological Distress of Healthcare Workers in Québec (Canada) During the Second and the Third Pandemic Waves. </w:t>
      </w:r>
      <w:r w:rsidRPr="00400164">
        <w:rPr>
          <w:rFonts w:eastAsia="Calibri"/>
          <w:i/>
          <w:iCs/>
          <w:color w:val="212121"/>
        </w:rPr>
        <w:t>Journal of Occupational &amp; Environmental Medicine</w:t>
      </w:r>
      <w:r w:rsidRPr="00400164">
        <w:rPr>
          <w:rFonts w:eastAsia="Calibri"/>
          <w:color w:val="212121"/>
        </w:rPr>
        <w:t xml:space="preserve">, </w:t>
      </w:r>
      <w:r w:rsidRPr="00400164">
        <w:rPr>
          <w:rFonts w:eastAsia="Calibri"/>
          <w:i/>
          <w:iCs/>
          <w:color w:val="212121"/>
        </w:rPr>
        <w:t>64</w:t>
      </w:r>
      <w:r w:rsidRPr="00400164">
        <w:rPr>
          <w:rFonts w:eastAsia="Calibri"/>
          <w:color w:val="212121"/>
        </w:rPr>
        <w:t xml:space="preserve">(6), 495–503. DOI.org (Crossref). </w:t>
      </w:r>
      <w:hyperlink r:id="rId10" w:history="1">
        <w:r w:rsidRPr="00400164">
          <w:rPr>
            <w:rStyle w:val="Hyperlien"/>
            <w:rFonts w:eastAsia="Calibri"/>
          </w:rPr>
          <w:t>https://doi.org/10.1097/JOM.0000000000002487</w:t>
        </w:r>
      </w:hyperlink>
    </w:p>
    <w:p w14:paraId="0B3CDBA3" w14:textId="77777777" w:rsidR="00CD0120" w:rsidRPr="00400164" w:rsidRDefault="00CD0120" w:rsidP="00400164">
      <w:pPr>
        <w:pStyle w:val="EndNoteBibliography"/>
        <w:spacing w:before="240" w:line="360" w:lineRule="auto"/>
        <w:ind w:left="360" w:hanging="360"/>
        <w:jc w:val="both"/>
        <w:rPr>
          <w:lang w:val="fr-CA"/>
        </w:rPr>
      </w:pPr>
      <w:r w:rsidRPr="00400164">
        <w:rPr>
          <w:lang w:val="en-CA"/>
        </w:rPr>
        <w:lastRenderedPageBreak/>
        <w:t xml:space="preserve">Coetzee, M., &amp; Van Dyk, J. (2018). Workplace Bullying and Turnover Intention: Exploring Work Engagement as a Potential Mediator. </w:t>
      </w:r>
      <w:r w:rsidRPr="00400164">
        <w:rPr>
          <w:i/>
          <w:iCs/>
          <w:lang w:val="fr-CA"/>
        </w:rPr>
        <w:t>Psychological Reports</w:t>
      </w:r>
      <w:r w:rsidRPr="00400164">
        <w:rPr>
          <w:lang w:val="fr-CA"/>
        </w:rPr>
        <w:t xml:space="preserve">, </w:t>
      </w:r>
      <w:r w:rsidRPr="00400164">
        <w:rPr>
          <w:i/>
          <w:iCs/>
          <w:lang w:val="fr-CA"/>
        </w:rPr>
        <w:t>121</w:t>
      </w:r>
      <w:r w:rsidRPr="00400164">
        <w:rPr>
          <w:lang w:val="fr-CA"/>
        </w:rPr>
        <w:t xml:space="preserve">(2), 375–392. </w:t>
      </w:r>
      <w:hyperlink r:id="rId11" w:history="1">
        <w:r w:rsidRPr="00400164">
          <w:rPr>
            <w:rStyle w:val="Hyperlien"/>
            <w:lang w:val="fr-CA"/>
          </w:rPr>
          <w:t>https://doi.org/10.1177/0033294117725073</w:t>
        </w:r>
      </w:hyperlink>
    </w:p>
    <w:p w14:paraId="1E9C468D" w14:textId="77777777" w:rsidR="00CD0120" w:rsidRPr="00400164" w:rsidRDefault="00CD0120" w:rsidP="00400164">
      <w:pPr>
        <w:pStyle w:val="EndNoteBibliography"/>
        <w:spacing w:before="240" w:line="360" w:lineRule="auto"/>
        <w:ind w:left="360" w:hanging="360"/>
        <w:jc w:val="both"/>
        <w:rPr>
          <w:lang w:val="en-CA"/>
        </w:rPr>
      </w:pPr>
      <w:r w:rsidRPr="00400164">
        <w:rPr>
          <w:lang w:val="fr-CA"/>
        </w:rPr>
        <w:t xml:space="preserve">Glambek, M., Skogstad, A., &amp; Einarsen, S. (2015). </w:t>
      </w:r>
      <w:r w:rsidRPr="00400164">
        <w:rPr>
          <w:lang w:val="en-CA"/>
        </w:rPr>
        <w:t xml:space="preserve">Take it or leave: A five-year prospective study of workplace bullying and indicators of expulsion in working life. </w:t>
      </w:r>
      <w:r w:rsidRPr="00400164">
        <w:rPr>
          <w:i/>
          <w:iCs/>
          <w:lang w:val="en-CA"/>
        </w:rPr>
        <w:t>INDUSTRIAL HEALTH</w:t>
      </w:r>
      <w:r w:rsidRPr="00400164">
        <w:rPr>
          <w:lang w:val="en-CA"/>
        </w:rPr>
        <w:t xml:space="preserve">, </w:t>
      </w:r>
      <w:r w:rsidRPr="00400164">
        <w:rPr>
          <w:i/>
          <w:iCs/>
          <w:lang w:val="en-CA"/>
        </w:rPr>
        <w:t>53</w:t>
      </w:r>
      <w:r w:rsidRPr="00400164">
        <w:rPr>
          <w:lang w:val="en-CA"/>
        </w:rPr>
        <w:t xml:space="preserve">(2), 160–170. </w:t>
      </w:r>
      <w:hyperlink r:id="rId12" w:history="1">
        <w:r w:rsidRPr="00400164">
          <w:rPr>
            <w:rStyle w:val="Hyperlien"/>
            <w:lang w:val="en-CA"/>
          </w:rPr>
          <w:t>https://doi.org/10.2486/indhealth.2014-0195</w:t>
        </w:r>
      </w:hyperlink>
    </w:p>
    <w:p w14:paraId="7A4FE98D" w14:textId="77777777" w:rsidR="00CD0120" w:rsidRPr="00400164" w:rsidRDefault="00CD0120" w:rsidP="00400164">
      <w:pPr>
        <w:pStyle w:val="EndNoteBibliography"/>
        <w:spacing w:before="240" w:line="360" w:lineRule="auto"/>
        <w:ind w:left="360" w:hanging="360"/>
        <w:jc w:val="both"/>
        <w:rPr>
          <w:lang w:val="en-CA"/>
        </w:rPr>
      </w:pPr>
      <w:r w:rsidRPr="00400164">
        <w:rPr>
          <w:lang w:val="en-CA"/>
        </w:rPr>
        <w:t xml:space="preserve">Gullander, M., Hogh, A., Hansen, Å. M., Persson, R., Rugulies, R., Kolstad, H. A., Thomsen, J. F., Willert, M. V., Grynderup, M., Mors, O., &amp; Bonde, J. P. (2014). Exposure to Workplace Bullying and Risk of Depression. </w:t>
      </w:r>
      <w:r w:rsidRPr="00400164">
        <w:rPr>
          <w:i/>
          <w:iCs/>
          <w:lang w:val="en-CA"/>
        </w:rPr>
        <w:t>Journal of Occupational &amp; Environmental Medicine</w:t>
      </w:r>
      <w:r w:rsidRPr="00400164">
        <w:rPr>
          <w:lang w:val="en-CA"/>
        </w:rPr>
        <w:t xml:space="preserve">, </w:t>
      </w:r>
      <w:r w:rsidRPr="00400164">
        <w:rPr>
          <w:i/>
          <w:iCs/>
          <w:lang w:val="en-CA"/>
        </w:rPr>
        <w:t>56</w:t>
      </w:r>
      <w:r w:rsidRPr="00400164">
        <w:rPr>
          <w:lang w:val="en-CA"/>
        </w:rPr>
        <w:t xml:space="preserve">(12), 1258–1265. </w:t>
      </w:r>
      <w:hyperlink r:id="rId13" w:history="1">
        <w:r w:rsidRPr="00400164">
          <w:rPr>
            <w:rStyle w:val="Hyperlien"/>
            <w:lang w:val="en-CA"/>
          </w:rPr>
          <w:t>https://doi.org/10.1097/JOM.0000000000000339</w:t>
        </w:r>
      </w:hyperlink>
    </w:p>
    <w:p w14:paraId="11FCBC51" w14:textId="77777777" w:rsidR="00CD0120" w:rsidRPr="00400164" w:rsidRDefault="00CD0120" w:rsidP="00400164">
      <w:pPr>
        <w:pStyle w:val="EndNoteBibliography"/>
        <w:spacing w:before="240" w:line="360" w:lineRule="auto"/>
        <w:ind w:left="360" w:hanging="360"/>
        <w:jc w:val="both"/>
        <w:rPr>
          <w:lang w:val="en-CA"/>
        </w:rPr>
      </w:pPr>
      <w:r w:rsidRPr="00400164">
        <w:rPr>
          <w:lang w:val="en-CA"/>
        </w:rPr>
        <w:t xml:space="preserve">Hauge, L. J., Skogstad, A., &amp; Einarsen, S. (2010). The relative impact of workplace bullying as a social stressor at work. </w:t>
      </w:r>
      <w:r w:rsidRPr="00400164">
        <w:rPr>
          <w:i/>
          <w:iCs/>
          <w:lang w:val="en-CA"/>
        </w:rPr>
        <w:t>Scandinavian Journal of Psychology</w:t>
      </w:r>
      <w:r w:rsidRPr="00400164">
        <w:rPr>
          <w:lang w:val="en-CA"/>
        </w:rPr>
        <w:t xml:space="preserve">. </w:t>
      </w:r>
      <w:hyperlink r:id="rId14" w:history="1">
        <w:r w:rsidRPr="00400164">
          <w:rPr>
            <w:rStyle w:val="Hyperlien"/>
            <w:lang w:val="en-CA"/>
          </w:rPr>
          <w:t>https://doi.org/10.1111/j.1467-9450.2010.00813.x</w:t>
        </w:r>
      </w:hyperlink>
    </w:p>
    <w:p w14:paraId="6514FD91" w14:textId="77777777" w:rsidR="00CD0120" w:rsidRPr="00400164" w:rsidRDefault="00CD0120" w:rsidP="00400164">
      <w:pPr>
        <w:spacing w:before="240" w:after="0" w:line="360" w:lineRule="auto"/>
        <w:ind w:left="360" w:hanging="360"/>
        <w:jc w:val="both"/>
        <w:rPr>
          <w:rFonts w:ascii="Calibri" w:hAnsi="Calibri" w:cs="Calibri"/>
          <w:noProof/>
          <w:sz w:val="22"/>
          <w:szCs w:val="22"/>
          <w:lang w:val="en-CA"/>
        </w:rPr>
      </w:pPr>
      <w:r w:rsidRPr="00400164">
        <w:rPr>
          <w:rFonts w:ascii="Calibri" w:hAnsi="Calibri" w:cs="Calibri"/>
          <w:noProof/>
          <w:sz w:val="22"/>
          <w:szCs w:val="22"/>
          <w:lang w:val="en-CA"/>
        </w:rPr>
        <w:t xml:space="preserve">Kivimäki, M., Virtanen, M., Vartia, M., Elovainio, M., Vahtera, J., &amp; Keltikangas-Järvinen, L. (2003). Workplace bullying and the risk of cardiovascular disease and depression. </w:t>
      </w:r>
      <w:r w:rsidRPr="00400164">
        <w:rPr>
          <w:rFonts w:ascii="Calibri" w:hAnsi="Calibri" w:cs="Calibri"/>
          <w:i/>
          <w:iCs/>
          <w:noProof/>
          <w:sz w:val="22"/>
          <w:szCs w:val="22"/>
          <w:lang w:val="en-CA"/>
        </w:rPr>
        <w:t>Occupational and Environmental Medicine</w:t>
      </w:r>
      <w:r w:rsidRPr="00400164">
        <w:rPr>
          <w:rFonts w:ascii="Calibri" w:hAnsi="Calibri" w:cs="Calibri"/>
          <w:noProof/>
          <w:sz w:val="22"/>
          <w:szCs w:val="22"/>
          <w:lang w:val="en-CA"/>
        </w:rPr>
        <w:t xml:space="preserve">, </w:t>
      </w:r>
      <w:r w:rsidRPr="00400164">
        <w:rPr>
          <w:rFonts w:ascii="Calibri" w:hAnsi="Calibri" w:cs="Calibri"/>
          <w:i/>
          <w:iCs/>
          <w:noProof/>
          <w:sz w:val="22"/>
          <w:szCs w:val="22"/>
          <w:lang w:val="en-CA"/>
        </w:rPr>
        <w:t>60</w:t>
      </w:r>
      <w:r w:rsidRPr="00400164">
        <w:rPr>
          <w:rFonts w:ascii="Calibri" w:hAnsi="Calibri" w:cs="Calibri"/>
          <w:noProof/>
          <w:sz w:val="22"/>
          <w:szCs w:val="22"/>
          <w:lang w:val="en-CA"/>
        </w:rPr>
        <w:t xml:space="preserve">(10), 779–783. </w:t>
      </w:r>
      <w:hyperlink r:id="rId15" w:history="1">
        <w:r w:rsidRPr="00400164">
          <w:rPr>
            <w:rStyle w:val="Hyperlien"/>
            <w:rFonts w:ascii="Calibri" w:hAnsi="Calibri" w:cs="Calibri"/>
            <w:noProof/>
            <w:sz w:val="22"/>
            <w:szCs w:val="22"/>
            <w:lang w:val="en-CA"/>
          </w:rPr>
          <w:t>https://doi.org/10.1136/oem.60.10.779</w:t>
        </w:r>
      </w:hyperlink>
    </w:p>
    <w:p w14:paraId="6F5253BE" w14:textId="569EDDC7" w:rsidR="00CD0120" w:rsidRPr="00400164" w:rsidRDefault="00CD0120" w:rsidP="00400164">
      <w:pPr>
        <w:spacing w:before="240" w:after="0" w:line="360" w:lineRule="auto"/>
        <w:ind w:left="360" w:hanging="360"/>
        <w:jc w:val="both"/>
        <w:rPr>
          <w:rFonts w:ascii="Calibri" w:eastAsia="Calibri" w:hAnsi="Calibri" w:cs="Calibri"/>
          <w:color w:val="212121"/>
          <w:sz w:val="22"/>
          <w:szCs w:val="22"/>
          <w:lang w:val="en-CA"/>
        </w:rPr>
      </w:pPr>
      <w:r w:rsidRPr="00400164">
        <w:rPr>
          <w:rFonts w:ascii="Calibri" w:eastAsia="Calibri" w:hAnsi="Calibri" w:cs="Calibri"/>
          <w:color w:val="212121"/>
          <w:sz w:val="22"/>
          <w:szCs w:val="22"/>
          <w:lang w:val="en-CA"/>
        </w:rPr>
        <w:t xml:space="preserve">Nielsen, K., Yarker, J., Munir, F., &amp; </w:t>
      </w:r>
      <w:proofErr w:type="spellStart"/>
      <w:r w:rsidRPr="00400164">
        <w:rPr>
          <w:rFonts w:ascii="Calibri" w:eastAsia="Calibri" w:hAnsi="Calibri" w:cs="Calibri"/>
          <w:color w:val="212121"/>
          <w:sz w:val="22"/>
          <w:szCs w:val="22"/>
          <w:lang w:val="en-CA"/>
        </w:rPr>
        <w:t>Bültmann</w:t>
      </w:r>
      <w:proofErr w:type="spellEnd"/>
      <w:r w:rsidRPr="00400164">
        <w:rPr>
          <w:rFonts w:ascii="Calibri" w:eastAsia="Calibri" w:hAnsi="Calibri" w:cs="Calibri"/>
          <w:color w:val="212121"/>
          <w:sz w:val="22"/>
          <w:szCs w:val="22"/>
          <w:lang w:val="en-CA"/>
        </w:rPr>
        <w:t xml:space="preserve">, U. (2020). Chapter 33: IGLOO: A Framework for Return to Work Among Workers with Mental Health Problems. In Handbook of disability, work and health (Ute </w:t>
      </w:r>
      <w:proofErr w:type="spellStart"/>
      <w:r w:rsidRPr="00400164">
        <w:rPr>
          <w:rFonts w:ascii="Calibri" w:eastAsia="Calibri" w:hAnsi="Calibri" w:cs="Calibri"/>
          <w:color w:val="212121"/>
          <w:sz w:val="22"/>
          <w:szCs w:val="22"/>
          <w:lang w:val="en-CA"/>
        </w:rPr>
        <w:t>Bültmann</w:t>
      </w:r>
      <w:proofErr w:type="spellEnd"/>
      <w:r w:rsidRPr="00400164">
        <w:rPr>
          <w:rFonts w:ascii="Calibri" w:eastAsia="Calibri" w:hAnsi="Calibri" w:cs="Calibri"/>
          <w:color w:val="212121"/>
          <w:sz w:val="22"/>
          <w:szCs w:val="22"/>
          <w:lang w:val="en-CA"/>
        </w:rPr>
        <w:t xml:space="preserve"> &amp; Johannes Siegrist, pp. 615–632). Springer Nature Switzerland AG.</w:t>
      </w:r>
    </w:p>
    <w:p w14:paraId="5C139CFA" w14:textId="4733B1FC" w:rsidR="005246BC" w:rsidRPr="00400164" w:rsidRDefault="005246BC" w:rsidP="00400164">
      <w:pPr>
        <w:spacing w:before="240" w:after="0" w:line="360" w:lineRule="auto"/>
        <w:ind w:left="360" w:hanging="360"/>
        <w:jc w:val="both"/>
        <w:rPr>
          <w:rFonts w:ascii="Calibri" w:eastAsia="Calibri" w:hAnsi="Calibri" w:cs="Calibri"/>
          <w:color w:val="000000" w:themeColor="text1"/>
          <w:sz w:val="22"/>
          <w:szCs w:val="22"/>
          <w:lang w:val="en-CA"/>
        </w:rPr>
      </w:pPr>
      <w:r w:rsidRPr="00400164">
        <w:rPr>
          <w:rFonts w:ascii="Calibri" w:eastAsia="Calibri" w:hAnsi="Calibri" w:cs="Calibri"/>
          <w:color w:val="000000" w:themeColor="text1"/>
          <w:sz w:val="22"/>
          <w:szCs w:val="22"/>
          <w:lang w:val="en-CA"/>
        </w:rPr>
        <w:t xml:space="preserve">Nielsen, M. B., </w:t>
      </w:r>
      <w:proofErr w:type="spellStart"/>
      <w:r w:rsidRPr="00400164">
        <w:rPr>
          <w:rFonts w:ascii="Calibri" w:eastAsia="Calibri" w:hAnsi="Calibri" w:cs="Calibri"/>
          <w:color w:val="000000" w:themeColor="text1"/>
          <w:sz w:val="22"/>
          <w:szCs w:val="22"/>
          <w:lang w:val="en-CA"/>
        </w:rPr>
        <w:t>Indregard</w:t>
      </w:r>
      <w:proofErr w:type="spellEnd"/>
      <w:r w:rsidRPr="00400164">
        <w:rPr>
          <w:rFonts w:ascii="Calibri" w:eastAsia="Calibri" w:hAnsi="Calibri" w:cs="Calibri"/>
          <w:color w:val="000000" w:themeColor="text1"/>
          <w:sz w:val="22"/>
          <w:szCs w:val="22"/>
          <w:lang w:val="en-CA"/>
        </w:rPr>
        <w:t>, A. M., &amp; Øverland, S. (2016). Workplace bullying and sickness absence: a systematic review and meta-analysis of the research literature. </w:t>
      </w:r>
      <w:r w:rsidRPr="00400164">
        <w:rPr>
          <w:rFonts w:ascii="Calibri" w:eastAsia="Calibri" w:hAnsi="Calibri" w:cs="Calibri"/>
          <w:i/>
          <w:iCs/>
          <w:color w:val="000000" w:themeColor="text1"/>
          <w:sz w:val="22"/>
          <w:szCs w:val="22"/>
          <w:lang w:val="en-CA"/>
        </w:rPr>
        <w:t>Scandinavian journal of work, environment &amp; health</w:t>
      </w:r>
      <w:r w:rsidRPr="00400164">
        <w:rPr>
          <w:rFonts w:ascii="Calibri" w:eastAsia="Calibri" w:hAnsi="Calibri" w:cs="Calibri"/>
          <w:color w:val="000000" w:themeColor="text1"/>
          <w:sz w:val="22"/>
          <w:szCs w:val="22"/>
          <w:lang w:val="en-CA"/>
        </w:rPr>
        <w:t>, </w:t>
      </w:r>
      <w:r w:rsidRPr="00400164">
        <w:rPr>
          <w:rFonts w:ascii="Calibri" w:eastAsia="Calibri" w:hAnsi="Calibri" w:cs="Calibri"/>
          <w:i/>
          <w:iCs/>
          <w:color w:val="000000" w:themeColor="text1"/>
          <w:sz w:val="22"/>
          <w:szCs w:val="22"/>
          <w:lang w:val="en-CA"/>
        </w:rPr>
        <w:t>42</w:t>
      </w:r>
      <w:r w:rsidRPr="00400164">
        <w:rPr>
          <w:rFonts w:ascii="Calibri" w:eastAsia="Calibri" w:hAnsi="Calibri" w:cs="Calibri"/>
          <w:color w:val="000000" w:themeColor="text1"/>
          <w:sz w:val="22"/>
          <w:szCs w:val="22"/>
          <w:lang w:val="en-CA"/>
        </w:rPr>
        <w:t xml:space="preserve">(5), 359–370. </w:t>
      </w:r>
      <w:hyperlink r:id="rId16" w:history="1">
        <w:r w:rsidRPr="00400164">
          <w:rPr>
            <w:rStyle w:val="Hyperlien"/>
            <w:rFonts w:ascii="Calibri" w:eastAsia="Calibri" w:hAnsi="Calibri" w:cs="Calibri"/>
            <w:sz w:val="22"/>
            <w:szCs w:val="22"/>
            <w:lang w:val="en-CA"/>
          </w:rPr>
          <w:t>https://doi.org/10.5271/sjweh.3579</w:t>
        </w:r>
      </w:hyperlink>
    </w:p>
    <w:p w14:paraId="396A8F5C" w14:textId="77777777" w:rsidR="005246BC" w:rsidRPr="00400164" w:rsidRDefault="005246BC" w:rsidP="00400164">
      <w:pPr>
        <w:spacing w:before="240" w:after="0" w:line="360" w:lineRule="auto"/>
        <w:ind w:left="360" w:hanging="360"/>
        <w:jc w:val="both"/>
        <w:rPr>
          <w:rFonts w:ascii="Calibri" w:eastAsia="Calibri" w:hAnsi="Calibri" w:cs="Calibri"/>
          <w:color w:val="000000" w:themeColor="text1"/>
          <w:sz w:val="22"/>
          <w:szCs w:val="22"/>
        </w:rPr>
      </w:pPr>
      <w:r w:rsidRPr="00400164">
        <w:rPr>
          <w:rFonts w:ascii="Calibri" w:eastAsia="Calibri" w:hAnsi="Calibri" w:cs="Calibri"/>
          <w:color w:val="000000" w:themeColor="text1"/>
          <w:sz w:val="22"/>
          <w:szCs w:val="22"/>
          <w:lang w:val="en-CA"/>
        </w:rPr>
        <w:t xml:space="preserve">Nigatu, Y. T., Liu, Y., Uppal, M., McKinney, S., Gillis, K., Rao, S., &amp; Wang, J. (2017). Prognostic factors for return to work of employees with common mental disorders: A meta-analysis of cohort studies. </w:t>
      </w:r>
      <w:r w:rsidRPr="00400164">
        <w:rPr>
          <w:rFonts w:ascii="Calibri" w:eastAsia="Calibri" w:hAnsi="Calibri" w:cs="Calibri"/>
          <w:i/>
          <w:iCs/>
          <w:color w:val="000000" w:themeColor="text1"/>
          <w:sz w:val="22"/>
          <w:szCs w:val="22"/>
        </w:rPr>
        <w:t xml:space="preserve">Social </w:t>
      </w:r>
      <w:proofErr w:type="spellStart"/>
      <w:r w:rsidRPr="00400164">
        <w:rPr>
          <w:rFonts w:ascii="Calibri" w:eastAsia="Calibri" w:hAnsi="Calibri" w:cs="Calibri"/>
          <w:i/>
          <w:iCs/>
          <w:color w:val="000000" w:themeColor="text1"/>
          <w:sz w:val="22"/>
          <w:szCs w:val="22"/>
        </w:rPr>
        <w:t>Psychiatry</w:t>
      </w:r>
      <w:proofErr w:type="spellEnd"/>
      <w:r w:rsidRPr="00400164">
        <w:rPr>
          <w:rFonts w:ascii="Calibri" w:eastAsia="Calibri" w:hAnsi="Calibri" w:cs="Calibri"/>
          <w:i/>
          <w:iCs/>
          <w:color w:val="000000" w:themeColor="text1"/>
          <w:sz w:val="22"/>
          <w:szCs w:val="22"/>
        </w:rPr>
        <w:t xml:space="preserve"> and </w:t>
      </w:r>
      <w:proofErr w:type="spellStart"/>
      <w:r w:rsidRPr="00400164">
        <w:rPr>
          <w:rFonts w:ascii="Calibri" w:eastAsia="Calibri" w:hAnsi="Calibri" w:cs="Calibri"/>
          <w:i/>
          <w:iCs/>
          <w:color w:val="000000" w:themeColor="text1"/>
          <w:sz w:val="22"/>
          <w:szCs w:val="22"/>
        </w:rPr>
        <w:t>Psychiatric</w:t>
      </w:r>
      <w:proofErr w:type="spellEnd"/>
      <w:r w:rsidRPr="00400164">
        <w:rPr>
          <w:rFonts w:ascii="Calibri" w:eastAsia="Calibri" w:hAnsi="Calibri" w:cs="Calibri"/>
          <w:i/>
          <w:iCs/>
          <w:color w:val="000000" w:themeColor="text1"/>
          <w:sz w:val="22"/>
          <w:szCs w:val="22"/>
        </w:rPr>
        <w:t xml:space="preserve"> </w:t>
      </w:r>
      <w:proofErr w:type="spellStart"/>
      <w:r w:rsidRPr="00400164">
        <w:rPr>
          <w:rFonts w:ascii="Calibri" w:eastAsia="Calibri" w:hAnsi="Calibri" w:cs="Calibri"/>
          <w:i/>
          <w:iCs/>
          <w:color w:val="000000" w:themeColor="text1"/>
          <w:sz w:val="22"/>
          <w:szCs w:val="22"/>
        </w:rPr>
        <w:t>Epidemiology</w:t>
      </w:r>
      <w:proofErr w:type="spellEnd"/>
      <w:r w:rsidRPr="00400164">
        <w:rPr>
          <w:rFonts w:ascii="Calibri" w:eastAsia="Calibri" w:hAnsi="Calibri" w:cs="Calibri"/>
          <w:color w:val="000000" w:themeColor="text1"/>
          <w:sz w:val="22"/>
          <w:szCs w:val="22"/>
        </w:rPr>
        <w:t xml:space="preserve">, </w:t>
      </w:r>
      <w:r w:rsidRPr="00400164">
        <w:rPr>
          <w:rFonts w:ascii="Calibri" w:eastAsia="Calibri" w:hAnsi="Calibri" w:cs="Calibri"/>
          <w:i/>
          <w:iCs/>
          <w:color w:val="000000" w:themeColor="text1"/>
          <w:sz w:val="22"/>
          <w:szCs w:val="22"/>
        </w:rPr>
        <w:t>52</w:t>
      </w:r>
      <w:r w:rsidRPr="00400164">
        <w:rPr>
          <w:rFonts w:ascii="Calibri" w:eastAsia="Calibri" w:hAnsi="Calibri" w:cs="Calibri"/>
          <w:color w:val="000000" w:themeColor="text1"/>
          <w:sz w:val="22"/>
          <w:szCs w:val="22"/>
        </w:rPr>
        <w:t xml:space="preserve">(10), 1205–1215. </w:t>
      </w:r>
      <w:hyperlink r:id="rId17" w:history="1">
        <w:r w:rsidRPr="00400164">
          <w:rPr>
            <w:rStyle w:val="Hyperlien"/>
            <w:rFonts w:ascii="Calibri" w:eastAsia="Calibri" w:hAnsi="Calibri" w:cs="Calibri"/>
            <w:sz w:val="22"/>
            <w:szCs w:val="22"/>
          </w:rPr>
          <w:t>https://doi.org/10.1007/s00127-017-1402-0</w:t>
        </w:r>
      </w:hyperlink>
    </w:p>
    <w:p w14:paraId="48C29FD9" w14:textId="77777777" w:rsidR="005246BC" w:rsidRPr="00400164" w:rsidRDefault="005246BC" w:rsidP="00400164">
      <w:pPr>
        <w:spacing w:before="240" w:after="0" w:line="360" w:lineRule="auto"/>
        <w:ind w:left="360" w:hanging="360"/>
        <w:jc w:val="both"/>
        <w:rPr>
          <w:rFonts w:ascii="Calibri" w:eastAsia="Calibri" w:hAnsi="Calibri" w:cs="Calibri"/>
          <w:color w:val="212121"/>
          <w:sz w:val="22"/>
          <w:szCs w:val="22"/>
        </w:rPr>
      </w:pPr>
      <w:r w:rsidRPr="00400164">
        <w:rPr>
          <w:rFonts w:ascii="Calibri" w:eastAsia="Calibri" w:hAnsi="Calibri" w:cs="Calibri"/>
          <w:color w:val="212121"/>
          <w:sz w:val="22"/>
          <w:szCs w:val="22"/>
        </w:rPr>
        <w:lastRenderedPageBreak/>
        <w:t xml:space="preserve">Paillé, P., &amp; Mucchielli, A. (2021). </w:t>
      </w:r>
      <w:r w:rsidRPr="00400164">
        <w:rPr>
          <w:rFonts w:ascii="Calibri" w:eastAsia="Calibri" w:hAnsi="Calibri" w:cs="Calibri"/>
          <w:i/>
          <w:iCs/>
          <w:color w:val="212121"/>
          <w:sz w:val="22"/>
          <w:szCs w:val="22"/>
        </w:rPr>
        <w:t>L’analyse qualitative en sciences humaines et sociales</w:t>
      </w:r>
      <w:r w:rsidRPr="00400164">
        <w:rPr>
          <w:rFonts w:ascii="Calibri" w:eastAsia="Calibri" w:hAnsi="Calibri" w:cs="Calibri"/>
          <w:color w:val="212121"/>
          <w:sz w:val="22"/>
          <w:szCs w:val="22"/>
        </w:rPr>
        <w:t xml:space="preserve"> (5e éd). Armand Colin.</w:t>
      </w:r>
    </w:p>
    <w:p w14:paraId="502F6110" w14:textId="3A5DD0CF" w:rsidR="00A97E75" w:rsidRPr="00400164" w:rsidRDefault="00A97E75" w:rsidP="00400164">
      <w:pPr>
        <w:spacing w:before="240" w:after="0" w:line="360" w:lineRule="auto"/>
        <w:ind w:left="360" w:hanging="360"/>
        <w:jc w:val="both"/>
        <w:rPr>
          <w:rFonts w:ascii="Calibri" w:eastAsia="Calibri" w:hAnsi="Calibri" w:cs="Calibri"/>
          <w:color w:val="212121"/>
          <w:sz w:val="22"/>
          <w:szCs w:val="22"/>
        </w:rPr>
      </w:pPr>
      <w:r w:rsidRPr="00400164">
        <w:rPr>
          <w:rFonts w:ascii="Calibri" w:eastAsia="Calibri" w:hAnsi="Calibri" w:cs="Calibri"/>
          <w:color w:val="212121"/>
          <w:sz w:val="22"/>
          <w:szCs w:val="22"/>
        </w:rPr>
        <w:t xml:space="preserve">Pelletier, M. </w:t>
      </w:r>
      <w:r w:rsidR="005246BC" w:rsidRPr="00400164">
        <w:rPr>
          <w:rFonts w:ascii="Calibri" w:hAnsi="Calibri" w:cs="Calibri"/>
          <w:sz w:val="22"/>
          <w:szCs w:val="22"/>
        </w:rPr>
        <w:t>&amp;</w:t>
      </w:r>
      <w:r w:rsidRPr="00400164">
        <w:rPr>
          <w:rFonts w:ascii="Calibri" w:eastAsia="Calibri" w:hAnsi="Calibri" w:cs="Calibri"/>
          <w:color w:val="212121"/>
          <w:sz w:val="22"/>
          <w:szCs w:val="22"/>
        </w:rPr>
        <w:t xml:space="preserve"> Giguère, É.</w:t>
      </w:r>
      <w:r w:rsidR="008B548B" w:rsidRPr="00400164">
        <w:rPr>
          <w:rFonts w:ascii="Calibri" w:eastAsia="Calibri" w:hAnsi="Calibri" w:cs="Calibri"/>
          <w:color w:val="212121"/>
          <w:sz w:val="22"/>
          <w:szCs w:val="22"/>
        </w:rPr>
        <w:t xml:space="preserve"> (2026).</w:t>
      </w:r>
      <w:r w:rsidRPr="00400164">
        <w:rPr>
          <w:rFonts w:ascii="Calibri" w:eastAsia="Calibri" w:hAnsi="Calibri" w:cs="Calibri"/>
          <w:color w:val="212121"/>
          <w:sz w:val="22"/>
          <w:szCs w:val="22"/>
        </w:rPr>
        <w:t xml:space="preserve"> </w:t>
      </w:r>
      <w:proofErr w:type="spellStart"/>
      <w:r w:rsidR="005246BC" w:rsidRPr="00400164">
        <w:rPr>
          <w:rFonts w:ascii="Calibri" w:eastAsia="Calibri" w:hAnsi="Calibri" w:cs="Calibri"/>
          <w:color w:val="212121"/>
          <w:sz w:val="22"/>
          <w:szCs w:val="22"/>
        </w:rPr>
        <w:t>Chapter</w:t>
      </w:r>
      <w:proofErr w:type="spellEnd"/>
      <w:r w:rsidR="005246BC" w:rsidRPr="00400164">
        <w:rPr>
          <w:rFonts w:ascii="Calibri" w:eastAsia="Calibri" w:hAnsi="Calibri" w:cs="Calibri"/>
          <w:color w:val="212121"/>
          <w:sz w:val="22"/>
          <w:szCs w:val="22"/>
        </w:rPr>
        <w:t xml:space="preserve"> 29 </w:t>
      </w:r>
      <w:r w:rsidRPr="00400164">
        <w:rPr>
          <w:rFonts w:ascii="Calibri" w:eastAsia="Calibri" w:hAnsi="Calibri" w:cs="Calibri"/>
          <w:color w:val="212121"/>
          <w:sz w:val="22"/>
          <w:szCs w:val="22"/>
        </w:rPr>
        <w:t xml:space="preserve">:  Comment faciliter le retour au travail des personnes présentant des problèmes de santé mentale ?  </w:t>
      </w:r>
      <w:r w:rsidR="005246BC" w:rsidRPr="00400164">
        <w:rPr>
          <w:rFonts w:ascii="Calibri" w:eastAsia="Calibri" w:hAnsi="Calibri" w:cs="Calibri"/>
          <w:color w:val="212121"/>
          <w:sz w:val="22"/>
          <w:szCs w:val="22"/>
        </w:rPr>
        <w:t>In</w:t>
      </w:r>
      <w:r w:rsidRPr="00400164">
        <w:rPr>
          <w:rFonts w:ascii="Calibri" w:eastAsia="Calibri" w:hAnsi="Calibri" w:cs="Calibri"/>
          <w:color w:val="212121"/>
          <w:sz w:val="22"/>
          <w:szCs w:val="22"/>
        </w:rPr>
        <w:t xml:space="preserve"> Santé mentale au travail, organisation et transformations du Travail : regards critiques, pragmatiques et Interdisciplinaires ancrés au Québec</w:t>
      </w:r>
      <w:r w:rsidR="005246BC" w:rsidRPr="00400164">
        <w:rPr>
          <w:rFonts w:ascii="Calibri" w:eastAsia="Calibri" w:hAnsi="Calibri" w:cs="Calibri"/>
          <w:color w:val="212121"/>
          <w:sz w:val="22"/>
          <w:szCs w:val="22"/>
        </w:rPr>
        <w:t xml:space="preserve"> (Mélanie Dufour-Poirier &amp; Jean-Paul Dautel pp. 541-558)</w:t>
      </w:r>
      <w:r w:rsidR="008B548B" w:rsidRPr="00400164">
        <w:rPr>
          <w:rFonts w:ascii="Calibri" w:eastAsia="Calibri" w:hAnsi="Calibri" w:cs="Calibri"/>
          <w:color w:val="212121"/>
          <w:sz w:val="22"/>
          <w:szCs w:val="22"/>
        </w:rPr>
        <w:t>, Presses de l’Université du Québec</w:t>
      </w:r>
      <w:r w:rsidR="005246BC" w:rsidRPr="00400164">
        <w:rPr>
          <w:rFonts w:ascii="Calibri" w:eastAsia="Calibri" w:hAnsi="Calibri" w:cs="Calibri"/>
          <w:color w:val="212121"/>
          <w:sz w:val="22"/>
          <w:szCs w:val="22"/>
        </w:rPr>
        <w:t xml:space="preserve"> Canada</w:t>
      </w:r>
      <w:r w:rsidR="008B548B" w:rsidRPr="00400164">
        <w:rPr>
          <w:rFonts w:ascii="Calibri" w:eastAsia="Calibri" w:hAnsi="Calibri" w:cs="Calibri"/>
          <w:color w:val="212121"/>
          <w:sz w:val="22"/>
          <w:szCs w:val="22"/>
        </w:rPr>
        <w:t>.</w:t>
      </w:r>
    </w:p>
    <w:p w14:paraId="4B6CC32E" w14:textId="77777777" w:rsidR="005246BC" w:rsidRPr="00400164" w:rsidRDefault="005246BC" w:rsidP="00400164">
      <w:pPr>
        <w:spacing w:before="240" w:after="0" w:line="360" w:lineRule="auto"/>
        <w:ind w:left="360" w:hanging="360"/>
        <w:jc w:val="both"/>
        <w:rPr>
          <w:rFonts w:ascii="Calibri" w:eastAsia="Calibri" w:hAnsi="Calibri" w:cs="Calibri"/>
          <w:color w:val="212121"/>
          <w:sz w:val="22"/>
          <w:szCs w:val="22"/>
        </w:rPr>
      </w:pPr>
      <w:r w:rsidRPr="00400164">
        <w:rPr>
          <w:rFonts w:ascii="Calibri" w:eastAsia="Calibri" w:hAnsi="Calibri" w:cs="Calibri"/>
          <w:color w:val="212121"/>
          <w:sz w:val="22"/>
          <w:szCs w:val="22"/>
        </w:rPr>
        <w:t xml:space="preserve">Pelletier, M., Carazo, S., Jauvin, N., Talbot, D., Serres, G., &amp; Vézina, M. (2021). </w:t>
      </w:r>
      <w:r w:rsidRPr="00400164">
        <w:rPr>
          <w:rFonts w:ascii="Calibri" w:eastAsia="Calibri" w:hAnsi="Calibri" w:cs="Calibri"/>
          <w:i/>
          <w:iCs/>
          <w:color w:val="212121"/>
          <w:sz w:val="22"/>
          <w:szCs w:val="22"/>
        </w:rPr>
        <w:t>Étude sur la détresse psychologique des travailleurs de la santé atteints de la COVID-19 au Québec durant la deuxième vague pandémique; Rapport de recherche; Institut national de santé publique du Québec</w:t>
      </w:r>
      <w:r w:rsidRPr="00400164">
        <w:rPr>
          <w:rFonts w:ascii="Calibri" w:eastAsia="Calibri" w:hAnsi="Calibri" w:cs="Calibri"/>
          <w:color w:val="212121"/>
          <w:sz w:val="22"/>
          <w:szCs w:val="22"/>
        </w:rPr>
        <w:t xml:space="preserve">. </w:t>
      </w:r>
      <w:hyperlink r:id="rId18" w:history="1">
        <w:r w:rsidRPr="00400164">
          <w:rPr>
            <w:rStyle w:val="Hyperlien"/>
            <w:rFonts w:ascii="Calibri" w:eastAsia="Calibri" w:hAnsi="Calibri" w:cs="Calibri"/>
            <w:sz w:val="22"/>
            <w:szCs w:val="22"/>
          </w:rPr>
          <w:t>https://www.inspq.qc.ca/publications/3135-detresse-psychologique-travailleurs-sante-atteints-covid19.</w:t>
        </w:r>
      </w:hyperlink>
    </w:p>
    <w:p w14:paraId="406124EE" w14:textId="77777777" w:rsidR="005246BC" w:rsidRPr="00400164" w:rsidRDefault="005246BC" w:rsidP="00400164">
      <w:pPr>
        <w:pStyle w:val="EndNoteBibliography"/>
        <w:spacing w:before="240" w:line="360" w:lineRule="auto"/>
        <w:ind w:left="360" w:hanging="360"/>
        <w:jc w:val="both"/>
        <w:rPr>
          <w:rFonts w:eastAsia="Calibri"/>
          <w:color w:val="212121"/>
        </w:rPr>
      </w:pPr>
      <w:r w:rsidRPr="00400164">
        <w:rPr>
          <w:rFonts w:eastAsia="Calibri"/>
          <w:color w:val="212121"/>
        </w:rPr>
        <w:t xml:space="preserve">Rugulies, R., Aust, B., &amp; Madsen, I. E. (2017). Effort–reward imbalance at work and risk of depressive disorders. A systematic review and meta-analysis of prospective cohort studies. </w:t>
      </w:r>
      <w:r w:rsidRPr="00400164">
        <w:rPr>
          <w:rFonts w:eastAsia="Calibri"/>
          <w:i/>
          <w:iCs/>
          <w:color w:val="212121"/>
        </w:rPr>
        <w:t>Scandinavian Journal of Work, Environment &amp; Health</w:t>
      </w:r>
      <w:r w:rsidRPr="00400164">
        <w:rPr>
          <w:rFonts w:eastAsia="Calibri"/>
          <w:color w:val="212121"/>
        </w:rPr>
        <w:t xml:space="preserve">, </w:t>
      </w:r>
      <w:r w:rsidRPr="00400164">
        <w:rPr>
          <w:rFonts w:eastAsia="Calibri"/>
          <w:i/>
          <w:iCs/>
          <w:color w:val="212121"/>
        </w:rPr>
        <w:t>43</w:t>
      </w:r>
      <w:r w:rsidRPr="00400164">
        <w:rPr>
          <w:rFonts w:eastAsia="Calibri"/>
          <w:color w:val="212121"/>
        </w:rPr>
        <w:t xml:space="preserve">(4), 294–306. </w:t>
      </w:r>
      <w:hyperlink r:id="rId19" w:history="1">
        <w:r w:rsidRPr="00400164">
          <w:rPr>
            <w:rStyle w:val="Hyperlien"/>
            <w:rFonts w:eastAsia="Calibri"/>
          </w:rPr>
          <w:t>https://doi.org/10.5271/sjweh.3632</w:t>
        </w:r>
      </w:hyperlink>
    </w:p>
    <w:p w14:paraId="42E3D254" w14:textId="564278E9" w:rsidR="009C7FF1" w:rsidRPr="00400164" w:rsidRDefault="005246BC" w:rsidP="00400164">
      <w:pPr>
        <w:spacing w:after="0" w:line="360" w:lineRule="auto"/>
        <w:ind w:left="360" w:hanging="360"/>
        <w:jc w:val="both"/>
        <w:rPr>
          <w:rFonts w:ascii="Calibri" w:eastAsia="Calibri" w:hAnsi="Calibri" w:cs="Calibri"/>
          <w:color w:val="212121"/>
          <w:sz w:val="22"/>
          <w:szCs w:val="22"/>
        </w:rPr>
      </w:pPr>
      <w:r w:rsidRPr="00400164">
        <w:rPr>
          <w:rFonts w:ascii="Calibri" w:eastAsia="Calibri" w:hAnsi="Calibri" w:cs="Calibri"/>
          <w:color w:val="212121"/>
          <w:sz w:val="22"/>
          <w:szCs w:val="22"/>
          <w:lang w:val="en-CA"/>
        </w:rPr>
        <w:t xml:space="preserve">St-Arnaud, L., &amp; Pelletier, M. (2013). </w:t>
      </w:r>
      <w:r w:rsidRPr="00400164">
        <w:rPr>
          <w:rFonts w:ascii="Calibri" w:eastAsia="Calibri" w:hAnsi="Calibri" w:cs="Calibri"/>
          <w:i/>
          <w:iCs/>
          <w:color w:val="212121"/>
          <w:sz w:val="22"/>
          <w:szCs w:val="22"/>
        </w:rPr>
        <w:t>Guide soutenir le retour au travail et favoriser le maintien en emploi—Faciliter le retour au travail d’un employé à la suite d’une absence liée à un problème de santé psychologique</w:t>
      </w:r>
      <w:r w:rsidRPr="00400164">
        <w:rPr>
          <w:rFonts w:ascii="Calibri" w:eastAsia="Calibri" w:hAnsi="Calibri" w:cs="Calibri"/>
          <w:color w:val="212121"/>
          <w:sz w:val="22"/>
          <w:szCs w:val="22"/>
        </w:rPr>
        <w:t>. Institut de recherche Robert-</w:t>
      </w:r>
      <w:proofErr w:type="spellStart"/>
      <w:r w:rsidRPr="00400164">
        <w:rPr>
          <w:rFonts w:ascii="Calibri" w:eastAsia="Calibri" w:hAnsi="Calibri" w:cs="Calibri"/>
          <w:color w:val="212121"/>
          <w:sz w:val="22"/>
          <w:szCs w:val="22"/>
        </w:rPr>
        <w:t>Sauvéen</w:t>
      </w:r>
      <w:proofErr w:type="spellEnd"/>
      <w:r w:rsidRPr="00400164">
        <w:rPr>
          <w:rFonts w:ascii="Calibri" w:eastAsia="Calibri" w:hAnsi="Calibri" w:cs="Calibri"/>
          <w:color w:val="212121"/>
          <w:sz w:val="22"/>
          <w:szCs w:val="22"/>
        </w:rPr>
        <w:t xml:space="preserve"> </w:t>
      </w:r>
      <w:proofErr w:type="spellStart"/>
      <w:r w:rsidRPr="00400164">
        <w:rPr>
          <w:rFonts w:ascii="Calibri" w:eastAsia="Calibri" w:hAnsi="Calibri" w:cs="Calibri"/>
          <w:color w:val="212121"/>
          <w:sz w:val="22"/>
          <w:szCs w:val="22"/>
        </w:rPr>
        <w:t>santéetsécurité</w:t>
      </w:r>
      <w:proofErr w:type="spellEnd"/>
      <w:r w:rsidRPr="00400164">
        <w:rPr>
          <w:rFonts w:ascii="Calibri" w:eastAsia="Calibri" w:hAnsi="Calibri" w:cs="Calibri"/>
          <w:color w:val="212121"/>
          <w:sz w:val="22"/>
          <w:szCs w:val="22"/>
        </w:rPr>
        <w:t xml:space="preserve"> du travail. </w:t>
      </w:r>
      <w:hyperlink r:id="rId20" w:history="1">
        <w:r w:rsidRPr="00400164">
          <w:rPr>
            <w:rStyle w:val="Hyperlien"/>
            <w:rFonts w:ascii="Calibri" w:eastAsia="Calibri" w:hAnsi="Calibri" w:cs="Calibri"/>
            <w:sz w:val="22"/>
            <w:szCs w:val="22"/>
          </w:rPr>
          <w:t>https://www.irsst.qc.ca/publications-et-outils/publication/i/100715/n/guide-soutenir-le-retour-au-travail-et-favoriser-le-maintien-en-emploi-liee-a-un-probleme-de-sante-psychologique-rg-758</w:t>
        </w:r>
      </w:hyperlink>
    </w:p>
    <w:p w14:paraId="672BD4C9" w14:textId="77777777" w:rsidR="00400164" w:rsidRPr="00400164" w:rsidRDefault="00400164" w:rsidP="00400164">
      <w:pPr>
        <w:spacing w:after="0" w:line="360" w:lineRule="auto"/>
        <w:ind w:left="360" w:hanging="360"/>
        <w:jc w:val="both"/>
        <w:rPr>
          <w:rFonts w:ascii="Calibri" w:eastAsia="Calibri" w:hAnsi="Calibri" w:cs="Calibri"/>
          <w:color w:val="212121"/>
          <w:sz w:val="22"/>
          <w:szCs w:val="22"/>
        </w:rPr>
      </w:pPr>
    </w:p>
    <w:p w14:paraId="3F84AB74" w14:textId="77777777" w:rsidR="00400164" w:rsidRPr="00400164" w:rsidRDefault="00400164" w:rsidP="00400164">
      <w:pPr>
        <w:pStyle w:val="Bibliographie"/>
        <w:rPr>
          <w:rFonts w:ascii="Calibri" w:hAnsi="Calibri" w:cs="Calibri"/>
          <w:sz w:val="22"/>
          <w:szCs w:val="22"/>
        </w:rPr>
      </w:pPr>
      <w:r w:rsidRPr="00400164">
        <w:rPr>
          <w:rFonts w:ascii="Calibri" w:eastAsia="Times New Roman" w:hAnsi="Calibri" w:cs="Calibri"/>
          <w:sz w:val="22"/>
          <w:szCs w:val="22"/>
          <w:lang w:val="en-CA"/>
        </w:rPr>
        <w:fldChar w:fldCharType="begin"/>
      </w:r>
      <w:r w:rsidRPr="00400164">
        <w:rPr>
          <w:rFonts w:ascii="Calibri" w:eastAsia="Times New Roman" w:hAnsi="Calibri" w:cs="Calibri"/>
          <w:sz w:val="22"/>
          <w:szCs w:val="22"/>
        </w:rPr>
        <w:instrText xml:space="preserve"> ADDIN ZOTERO_BIBL {"uncited":[],"omitted":[],"custom":[]} CSL_BIBLIOGRAPHY </w:instrText>
      </w:r>
      <w:r w:rsidRPr="00400164">
        <w:rPr>
          <w:rFonts w:ascii="Calibri" w:eastAsia="Times New Roman" w:hAnsi="Calibri" w:cs="Calibri"/>
          <w:sz w:val="22"/>
          <w:szCs w:val="22"/>
          <w:lang w:val="en-CA"/>
        </w:rPr>
        <w:fldChar w:fldCharType="separate"/>
      </w:r>
      <w:r w:rsidRPr="00400164">
        <w:rPr>
          <w:rFonts w:ascii="Calibri" w:hAnsi="Calibri" w:cs="Calibri"/>
          <w:sz w:val="22"/>
          <w:szCs w:val="22"/>
        </w:rPr>
        <w:t>Tissot, F., Jauvin, N., &amp; Vézina, M. (2022). Les déterminants de la détresse psychologique élevée liée au travail: Résultats de l’Enquête québécoise sur la santé de la population, 2014-2015.</w:t>
      </w:r>
    </w:p>
    <w:p w14:paraId="48FD00BF" w14:textId="5FB24D0B" w:rsidR="00E239A1" w:rsidRPr="00400164" w:rsidRDefault="00400164" w:rsidP="00400164">
      <w:pPr>
        <w:spacing w:after="240" w:line="360" w:lineRule="auto"/>
        <w:jc w:val="both"/>
        <w:rPr>
          <w:rFonts w:ascii="Calibri" w:eastAsia="Times New Roman" w:hAnsi="Calibri" w:cs="Calibri"/>
          <w:sz w:val="22"/>
          <w:szCs w:val="22"/>
        </w:rPr>
      </w:pPr>
      <w:r w:rsidRPr="00400164">
        <w:rPr>
          <w:rFonts w:ascii="Calibri" w:eastAsia="Times New Roman" w:hAnsi="Calibri" w:cs="Calibri"/>
          <w:sz w:val="22"/>
          <w:szCs w:val="22"/>
          <w:lang w:val="en-CA"/>
        </w:rPr>
        <w:fldChar w:fldCharType="end"/>
      </w:r>
    </w:p>
    <w:p w14:paraId="1177F0E7" w14:textId="0B0A6564" w:rsidR="000D1D84" w:rsidRPr="00400164" w:rsidRDefault="000D1D84" w:rsidP="00400164">
      <w:pPr>
        <w:spacing w:line="360" w:lineRule="auto"/>
        <w:jc w:val="both"/>
        <w:rPr>
          <w:rFonts w:ascii="Calibri" w:hAnsi="Calibri" w:cs="Calibri"/>
          <w:sz w:val="22"/>
          <w:szCs w:val="22"/>
        </w:rPr>
      </w:pPr>
    </w:p>
    <w:sectPr w:rsidR="000D1D84" w:rsidRPr="0040016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7F057"/>
    <w:multiLevelType w:val="hybridMultilevel"/>
    <w:tmpl w:val="B0ECF31A"/>
    <w:lvl w:ilvl="0" w:tplc="DDA81CC2">
      <w:start w:val="1"/>
      <w:numFmt w:val="bullet"/>
      <w:lvlText w:val=""/>
      <w:lvlJc w:val="left"/>
      <w:pPr>
        <w:ind w:left="720" w:hanging="360"/>
      </w:pPr>
      <w:rPr>
        <w:rFonts w:ascii="Symbol" w:hAnsi="Symbol" w:hint="default"/>
      </w:rPr>
    </w:lvl>
    <w:lvl w:ilvl="1" w:tplc="ABD0EDC0">
      <w:start w:val="1"/>
      <w:numFmt w:val="bullet"/>
      <w:lvlText w:val="o"/>
      <w:lvlJc w:val="left"/>
      <w:pPr>
        <w:ind w:left="1440" w:hanging="360"/>
      </w:pPr>
      <w:rPr>
        <w:rFonts w:ascii="Courier New" w:hAnsi="Courier New" w:hint="default"/>
      </w:rPr>
    </w:lvl>
    <w:lvl w:ilvl="2" w:tplc="A4749A50">
      <w:start w:val="1"/>
      <w:numFmt w:val="bullet"/>
      <w:lvlText w:val=""/>
      <w:lvlJc w:val="left"/>
      <w:pPr>
        <w:ind w:left="2160" w:hanging="360"/>
      </w:pPr>
      <w:rPr>
        <w:rFonts w:ascii="Wingdings" w:hAnsi="Wingdings" w:hint="default"/>
      </w:rPr>
    </w:lvl>
    <w:lvl w:ilvl="3" w:tplc="67AE1976">
      <w:start w:val="1"/>
      <w:numFmt w:val="bullet"/>
      <w:lvlText w:val=""/>
      <w:lvlJc w:val="left"/>
      <w:pPr>
        <w:ind w:left="2880" w:hanging="360"/>
      </w:pPr>
      <w:rPr>
        <w:rFonts w:ascii="Symbol" w:hAnsi="Symbol" w:hint="default"/>
      </w:rPr>
    </w:lvl>
    <w:lvl w:ilvl="4" w:tplc="271A775A">
      <w:start w:val="1"/>
      <w:numFmt w:val="bullet"/>
      <w:lvlText w:val="o"/>
      <w:lvlJc w:val="left"/>
      <w:pPr>
        <w:ind w:left="3600" w:hanging="360"/>
      </w:pPr>
      <w:rPr>
        <w:rFonts w:ascii="Courier New" w:hAnsi="Courier New" w:hint="default"/>
      </w:rPr>
    </w:lvl>
    <w:lvl w:ilvl="5" w:tplc="1924DDD2">
      <w:start w:val="1"/>
      <w:numFmt w:val="bullet"/>
      <w:lvlText w:val=""/>
      <w:lvlJc w:val="left"/>
      <w:pPr>
        <w:ind w:left="4320" w:hanging="360"/>
      </w:pPr>
      <w:rPr>
        <w:rFonts w:ascii="Wingdings" w:hAnsi="Wingdings" w:hint="default"/>
      </w:rPr>
    </w:lvl>
    <w:lvl w:ilvl="6" w:tplc="7522F74E">
      <w:start w:val="1"/>
      <w:numFmt w:val="bullet"/>
      <w:lvlText w:val=""/>
      <w:lvlJc w:val="left"/>
      <w:pPr>
        <w:ind w:left="5040" w:hanging="360"/>
      </w:pPr>
      <w:rPr>
        <w:rFonts w:ascii="Symbol" w:hAnsi="Symbol" w:hint="default"/>
      </w:rPr>
    </w:lvl>
    <w:lvl w:ilvl="7" w:tplc="106C609C">
      <w:start w:val="1"/>
      <w:numFmt w:val="bullet"/>
      <w:lvlText w:val="o"/>
      <w:lvlJc w:val="left"/>
      <w:pPr>
        <w:ind w:left="5760" w:hanging="360"/>
      </w:pPr>
      <w:rPr>
        <w:rFonts w:ascii="Courier New" w:hAnsi="Courier New" w:hint="default"/>
      </w:rPr>
    </w:lvl>
    <w:lvl w:ilvl="8" w:tplc="9F0ABF3A">
      <w:start w:val="1"/>
      <w:numFmt w:val="bullet"/>
      <w:lvlText w:val=""/>
      <w:lvlJc w:val="left"/>
      <w:pPr>
        <w:ind w:left="6480" w:hanging="360"/>
      </w:pPr>
      <w:rPr>
        <w:rFonts w:ascii="Wingdings" w:hAnsi="Wingdings" w:hint="default"/>
      </w:rPr>
    </w:lvl>
  </w:abstractNum>
  <w:abstractNum w:abstractNumId="1" w15:restartNumberingAfterBreak="0">
    <w:nsid w:val="1ED190FC"/>
    <w:multiLevelType w:val="hybridMultilevel"/>
    <w:tmpl w:val="DF9A98F2"/>
    <w:lvl w:ilvl="0" w:tplc="F162F42A">
      <w:start w:val="1"/>
      <w:numFmt w:val="bullet"/>
      <w:lvlText w:val=""/>
      <w:lvlJc w:val="left"/>
      <w:pPr>
        <w:ind w:left="720" w:hanging="360"/>
      </w:pPr>
      <w:rPr>
        <w:rFonts w:ascii="Symbol" w:hAnsi="Symbol" w:hint="default"/>
      </w:rPr>
    </w:lvl>
    <w:lvl w:ilvl="1" w:tplc="7DC686E8">
      <w:start w:val="1"/>
      <w:numFmt w:val="bullet"/>
      <w:lvlText w:val="o"/>
      <w:lvlJc w:val="left"/>
      <w:pPr>
        <w:ind w:left="1440" w:hanging="360"/>
      </w:pPr>
      <w:rPr>
        <w:rFonts w:ascii="Courier New" w:hAnsi="Courier New" w:hint="default"/>
      </w:rPr>
    </w:lvl>
    <w:lvl w:ilvl="2" w:tplc="EF82E30C">
      <w:start w:val="1"/>
      <w:numFmt w:val="bullet"/>
      <w:lvlText w:val=""/>
      <w:lvlJc w:val="left"/>
      <w:pPr>
        <w:ind w:left="2160" w:hanging="360"/>
      </w:pPr>
      <w:rPr>
        <w:rFonts w:ascii="Wingdings" w:hAnsi="Wingdings" w:hint="default"/>
      </w:rPr>
    </w:lvl>
    <w:lvl w:ilvl="3" w:tplc="BE2C287C">
      <w:start w:val="1"/>
      <w:numFmt w:val="bullet"/>
      <w:lvlText w:val=""/>
      <w:lvlJc w:val="left"/>
      <w:pPr>
        <w:ind w:left="2880" w:hanging="360"/>
      </w:pPr>
      <w:rPr>
        <w:rFonts w:ascii="Symbol" w:hAnsi="Symbol" w:hint="default"/>
      </w:rPr>
    </w:lvl>
    <w:lvl w:ilvl="4" w:tplc="A6708B10">
      <w:start w:val="1"/>
      <w:numFmt w:val="bullet"/>
      <w:lvlText w:val="o"/>
      <w:lvlJc w:val="left"/>
      <w:pPr>
        <w:ind w:left="3600" w:hanging="360"/>
      </w:pPr>
      <w:rPr>
        <w:rFonts w:ascii="Courier New" w:hAnsi="Courier New" w:hint="default"/>
      </w:rPr>
    </w:lvl>
    <w:lvl w:ilvl="5" w:tplc="67B28588">
      <w:start w:val="1"/>
      <w:numFmt w:val="bullet"/>
      <w:lvlText w:val=""/>
      <w:lvlJc w:val="left"/>
      <w:pPr>
        <w:ind w:left="4320" w:hanging="360"/>
      </w:pPr>
      <w:rPr>
        <w:rFonts w:ascii="Wingdings" w:hAnsi="Wingdings" w:hint="default"/>
      </w:rPr>
    </w:lvl>
    <w:lvl w:ilvl="6" w:tplc="1A7A306A">
      <w:start w:val="1"/>
      <w:numFmt w:val="bullet"/>
      <w:lvlText w:val=""/>
      <w:lvlJc w:val="left"/>
      <w:pPr>
        <w:ind w:left="5040" w:hanging="360"/>
      </w:pPr>
      <w:rPr>
        <w:rFonts w:ascii="Symbol" w:hAnsi="Symbol" w:hint="default"/>
      </w:rPr>
    </w:lvl>
    <w:lvl w:ilvl="7" w:tplc="C8747D88">
      <w:start w:val="1"/>
      <w:numFmt w:val="bullet"/>
      <w:lvlText w:val="o"/>
      <w:lvlJc w:val="left"/>
      <w:pPr>
        <w:ind w:left="5760" w:hanging="360"/>
      </w:pPr>
      <w:rPr>
        <w:rFonts w:ascii="Courier New" w:hAnsi="Courier New" w:hint="default"/>
      </w:rPr>
    </w:lvl>
    <w:lvl w:ilvl="8" w:tplc="62584B26">
      <w:start w:val="1"/>
      <w:numFmt w:val="bullet"/>
      <w:lvlText w:val=""/>
      <w:lvlJc w:val="left"/>
      <w:pPr>
        <w:ind w:left="6480" w:hanging="360"/>
      </w:pPr>
      <w:rPr>
        <w:rFonts w:ascii="Wingdings" w:hAnsi="Wingdings" w:hint="default"/>
      </w:rPr>
    </w:lvl>
  </w:abstractNum>
  <w:num w:numId="1" w16cid:durableId="874466283">
    <w:abstractNumId w:val="1"/>
  </w:num>
  <w:num w:numId="2" w16cid:durableId="1296180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319"/>
    <w:rsid w:val="0004391C"/>
    <w:rsid w:val="000C59EA"/>
    <w:rsid w:val="000C5C18"/>
    <w:rsid w:val="000D1D84"/>
    <w:rsid w:val="001D7121"/>
    <w:rsid w:val="00292318"/>
    <w:rsid w:val="002B05F2"/>
    <w:rsid w:val="003432A8"/>
    <w:rsid w:val="00400164"/>
    <w:rsid w:val="00404A6A"/>
    <w:rsid w:val="004C3E2C"/>
    <w:rsid w:val="00505D79"/>
    <w:rsid w:val="005246BC"/>
    <w:rsid w:val="0054282D"/>
    <w:rsid w:val="005452EF"/>
    <w:rsid w:val="005829B1"/>
    <w:rsid w:val="005A62B5"/>
    <w:rsid w:val="005C6319"/>
    <w:rsid w:val="00660563"/>
    <w:rsid w:val="00675208"/>
    <w:rsid w:val="006925D5"/>
    <w:rsid w:val="006A2AD4"/>
    <w:rsid w:val="006B3FF8"/>
    <w:rsid w:val="006C1FCE"/>
    <w:rsid w:val="006C4902"/>
    <w:rsid w:val="00720535"/>
    <w:rsid w:val="00727BE8"/>
    <w:rsid w:val="00770360"/>
    <w:rsid w:val="007E459F"/>
    <w:rsid w:val="007F1F3B"/>
    <w:rsid w:val="00851988"/>
    <w:rsid w:val="008736B0"/>
    <w:rsid w:val="008B548B"/>
    <w:rsid w:val="00954450"/>
    <w:rsid w:val="009A149E"/>
    <w:rsid w:val="009C4936"/>
    <w:rsid w:val="009C7FF1"/>
    <w:rsid w:val="009D4CC6"/>
    <w:rsid w:val="009D79C9"/>
    <w:rsid w:val="009E61DA"/>
    <w:rsid w:val="00A45332"/>
    <w:rsid w:val="00A97E75"/>
    <w:rsid w:val="00B10356"/>
    <w:rsid w:val="00B11F0A"/>
    <w:rsid w:val="00BF7237"/>
    <w:rsid w:val="00C4365F"/>
    <w:rsid w:val="00C72976"/>
    <w:rsid w:val="00CD0120"/>
    <w:rsid w:val="00CD622E"/>
    <w:rsid w:val="00CF0B87"/>
    <w:rsid w:val="00D36CE4"/>
    <w:rsid w:val="00D53C12"/>
    <w:rsid w:val="00D62812"/>
    <w:rsid w:val="00E239A1"/>
    <w:rsid w:val="00E26191"/>
    <w:rsid w:val="00E279CE"/>
    <w:rsid w:val="00F1182A"/>
    <w:rsid w:val="00F4010D"/>
    <w:rsid w:val="00F41053"/>
    <w:rsid w:val="00F433DD"/>
    <w:rsid w:val="00F53272"/>
    <w:rsid w:val="00F8117C"/>
    <w:rsid w:val="00FB0BC9"/>
    <w:rsid w:val="00FB7F80"/>
    <w:rsid w:val="037F87E8"/>
    <w:rsid w:val="0A782FD0"/>
    <w:rsid w:val="0A946B0A"/>
    <w:rsid w:val="16CBE2F3"/>
    <w:rsid w:val="1AA3F2EB"/>
    <w:rsid w:val="20917E50"/>
    <w:rsid w:val="2294F62A"/>
    <w:rsid w:val="23A53DFD"/>
    <w:rsid w:val="3113A377"/>
    <w:rsid w:val="34D51709"/>
    <w:rsid w:val="3EA55E31"/>
    <w:rsid w:val="42FC18FE"/>
    <w:rsid w:val="46584163"/>
    <w:rsid w:val="53700444"/>
    <w:rsid w:val="5435D951"/>
    <w:rsid w:val="56F211C9"/>
    <w:rsid w:val="5B3E37B4"/>
    <w:rsid w:val="5F4062DE"/>
    <w:rsid w:val="610BB00C"/>
    <w:rsid w:val="624D168E"/>
    <w:rsid w:val="6A13E0F7"/>
    <w:rsid w:val="6B8A77DA"/>
    <w:rsid w:val="6E469212"/>
    <w:rsid w:val="71CBB833"/>
    <w:rsid w:val="7542D4B9"/>
    <w:rsid w:val="790A60F5"/>
    <w:rsid w:val="7CCD56DB"/>
    <w:rsid w:val="7CF218A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38330"/>
  <w15:chartTrackingRefBased/>
  <w15:docId w15:val="{9D55341B-4B12-4354-BB02-2FA399555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C63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C63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C631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C631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C631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C631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C631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C631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C631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C631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C631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C631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C631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C631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C631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C631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C631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C6319"/>
    <w:rPr>
      <w:rFonts w:eastAsiaTheme="majorEastAsia" w:cstheme="majorBidi"/>
      <w:color w:val="272727" w:themeColor="text1" w:themeTint="D8"/>
    </w:rPr>
  </w:style>
  <w:style w:type="paragraph" w:styleId="Titre">
    <w:name w:val="Title"/>
    <w:basedOn w:val="Normal"/>
    <w:next w:val="Normal"/>
    <w:link w:val="TitreCar"/>
    <w:uiPriority w:val="10"/>
    <w:qFormat/>
    <w:rsid w:val="005C63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C631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C631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C631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C6319"/>
    <w:pPr>
      <w:spacing w:before="160"/>
      <w:jc w:val="center"/>
    </w:pPr>
    <w:rPr>
      <w:i/>
      <w:iCs/>
      <w:color w:val="404040" w:themeColor="text1" w:themeTint="BF"/>
    </w:rPr>
  </w:style>
  <w:style w:type="character" w:customStyle="1" w:styleId="CitationCar">
    <w:name w:val="Citation Car"/>
    <w:basedOn w:val="Policepardfaut"/>
    <w:link w:val="Citation"/>
    <w:uiPriority w:val="29"/>
    <w:rsid w:val="005C6319"/>
    <w:rPr>
      <w:i/>
      <w:iCs/>
      <w:color w:val="404040" w:themeColor="text1" w:themeTint="BF"/>
    </w:rPr>
  </w:style>
  <w:style w:type="paragraph" w:styleId="Paragraphedeliste">
    <w:name w:val="List Paragraph"/>
    <w:basedOn w:val="Normal"/>
    <w:uiPriority w:val="34"/>
    <w:qFormat/>
    <w:rsid w:val="005C6319"/>
    <w:pPr>
      <w:ind w:left="720"/>
      <w:contextualSpacing/>
    </w:pPr>
  </w:style>
  <w:style w:type="character" w:styleId="Accentuationintense">
    <w:name w:val="Intense Emphasis"/>
    <w:basedOn w:val="Policepardfaut"/>
    <w:uiPriority w:val="21"/>
    <w:qFormat/>
    <w:rsid w:val="005C6319"/>
    <w:rPr>
      <w:i/>
      <w:iCs/>
      <w:color w:val="0F4761" w:themeColor="accent1" w:themeShade="BF"/>
    </w:rPr>
  </w:style>
  <w:style w:type="paragraph" w:styleId="Citationintense">
    <w:name w:val="Intense Quote"/>
    <w:basedOn w:val="Normal"/>
    <w:next w:val="Normal"/>
    <w:link w:val="CitationintenseCar"/>
    <w:uiPriority w:val="30"/>
    <w:qFormat/>
    <w:rsid w:val="005C63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C6319"/>
    <w:rPr>
      <w:i/>
      <w:iCs/>
      <w:color w:val="0F4761" w:themeColor="accent1" w:themeShade="BF"/>
    </w:rPr>
  </w:style>
  <w:style w:type="character" w:styleId="Rfrenceintense">
    <w:name w:val="Intense Reference"/>
    <w:basedOn w:val="Policepardfaut"/>
    <w:uiPriority w:val="32"/>
    <w:qFormat/>
    <w:rsid w:val="005C6319"/>
    <w:rPr>
      <w:b/>
      <w:bCs/>
      <w:smallCaps/>
      <w:color w:val="0F4761" w:themeColor="accent1" w:themeShade="BF"/>
      <w:spacing w:val="5"/>
    </w:rPr>
  </w:style>
  <w:style w:type="paragraph" w:styleId="NormalWeb">
    <w:name w:val="Normal (Web)"/>
    <w:basedOn w:val="Normal"/>
    <w:uiPriority w:val="99"/>
    <w:unhideWhenUsed/>
    <w:rsid w:val="009C7FF1"/>
    <w:rPr>
      <w:rFonts w:ascii="Times New Roman" w:hAnsi="Times New Roman" w:cs="Times New Roman"/>
    </w:rPr>
  </w:style>
  <w:style w:type="paragraph" w:styleId="Rvision">
    <w:name w:val="Revision"/>
    <w:hidden/>
    <w:uiPriority w:val="99"/>
    <w:semiHidden/>
    <w:rsid w:val="00A45332"/>
    <w:pPr>
      <w:spacing w:after="0" w:line="240" w:lineRule="auto"/>
    </w:pPr>
  </w:style>
  <w:style w:type="character" w:styleId="Hyperlien">
    <w:name w:val="Hyperlink"/>
    <w:basedOn w:val="Policepardfaut"/>
    <w:uiPriority w:val="99"/>
    <w:unhideWhenUsed/>
    <w:rsid w:val="00BF7237"/>
    <w:rPr>
      <w:color w:val="467886" w:themeColor="hyperlink"/>
      <w:u w:val="single"/>
    </w:rPr>
  </w:style>
  <w:style w:type="character" w:styleId="Lienvisit">
    <w:name w:val="FollowedHyperlink"/>
    <w:basedOn w:val="Policepardfaut"/>
    <w:uiPriority w:val="99"/>
    <w:semiHidden/>
    <w:unhideWhenUsed/>
    <w:rsid w:val="00BF7237"/>
    <w:rPr>
      <w:color w:val="96607D" w:themeColor="followedHyperlink"/>
      <w:u w:val="single"/>
    </w:rPr>
  </w:style>
  <w:style w:type="character" w:styleId="Mentionnonrsolue">
    <w:name w:val="Unresolved Mention"/>
    <w:basedOn w:val="Policepardfaut"/>
    <w:uiPriority w:val="99"/>
    <w:semiHidden/>
    <w:unhideWhenUsed/>
    <w:rsid w:val="00BF7237"/>
    <w:rPr>
      <w:color w:val="605E5C"/>
      <w:shd w:val="clear" w:color="auto" w:fill="E1DFDD"/>
    </w:rPr>
  </w:style>
  <w:style w:type="paragraph" w:customStyle="1" w:styleId="EndNoteBibliography">
    <w:name w:val="EndNote Bibliography"/>
    <w:basedOn w:val="Normal"/>
    <w:link w:val="EndNoteBibliographyCar"/>
    <w:rsid w:val="00BF7237"/>
    <w:pPr>
      <w:spacing w:line="240" w:lineRule="auto"/>
    </w:pPr>
    <w:rPr>
      <w:rFonts w:ascii="Calibri" w:hAnsi="Calibri" w:cs="Calibri"/>
      <w:noProof/>
      <w:sz w:val="22"/>
      <w:szCs w:val="22"/>
      <w:lang w:val="en-US"/>
    </w:rPr>
  </w:style>
  <w:style w:type="character" w:customStyle="1" w:styleId="EndNoteBibliographyCar">
    <w:name w:val="EndNote Bibliography Car"/>
    <w:basedOn w:val="Policepardfaut"/>
    <w:link w:val="EndNoteBibliography"/>
    <w:rsid w:val="00BF7237"/>
    <w:rPr>
      <w:rFonts w:ascii="Calibri" w:hAnsi="Calibri" w:cs="Calibri"/>
      <w:noProof/>
      <w:sz w:val="22"/>
      <w:szCs w:val="22"/>
      <w:lang w:val="en-US"/>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character" w:customStyle="1" w:styleId="normaltextrun">
    <w:name w:val="normaltextrun"/>
    <w:basedOn w:val="Policepardfaut"/>
    <w:rsid w:val="00400164"/>
  </w:style>
  <w:style w:type="character" w:customStyle="1" w:styleId="apple-converted-space">
    <w:name w:val="apple-converted-space"/>
    <w:basedOn w:val="Policepardfaut"/>
    <w:rsid w:val="00400164"/>
  </w:style>
  <w:style w:type="paragraph" w:styleId="Bibliographie">
    <w:name w:val="Bibliography"/>
    <w:basedOn w:val="Normal"/>
    <w:next w:val="Normal"/>
    <w:uiPriority w:val="37"/>
    <w:unhideWhenUsed/>
    <w:rsid w:val="00400164"/>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97/JOM.0000000000000339" TargetMode="External"/><Relationship Id="rId18" Type="http://schemas.openxmlformats.org/officeDocument/2006/relationships/hyperlink" Target="https://www.inspq.qc.ca/publications/3135-detresse-psychologique-travailleurs-sante-atteints-covid19."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doi.org/10.2486/indhealth.2014-0195" TargetMode="External"/><Relationship Id="rId17" Type="http://schemas.openxmlformats.org/officeDocument/2006/relationships/hyperlink" Target="https://doi.org/10.1007/s00127-017-1402-0" TargetMode="External"/><Relationship Id="rId2" Type="http://schemas.openxmlformats.org/officeDocument/2006/relationships/customXml" Target="../customXml/item2.xml"/><Relationship Id="rId16" Type="http://schemas.openxmlformats.org/officeDocument/2006/relationships/hyperlink" Target="https://doi.org/10.5271/sjweh.3579" TargetMode="External"/><Relationship Id="rId20" Type="http://schemas.openxmlformats.org/officeDocument/2006/relationships/hyperlink" Target="https://www.irsst.qc.ca/publications-et-outils/publication/i/100715/n/guide-soutenir-le-retour-au-travail-et-favoriser-le-maintien-en-emploi-liee-a-un-probleme-de-sante-psychologique-rg-75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177/0033294117725073" TargetMode="External"/><Relationship Id="rId5" Type="http://schemas.openxmlformats.org/officeDocument/2006/relationships/numbering" Target="numbering.xml"/><Relationship Id="rId15" Type="http://schemas.openxmlformats.org/officeDocument/2006/relationships/hyperlink" Target="https://doi.org/10.1136/oem.60.10.779" TargetMode="External"/><Relationship Id="rId10" Type="http://schemas.openxmlformats.org/officeDocument/2006/relationships/hyperlink" Target="https://doi.org/10.1097/JOM.0000000000002487" TargetMode="External"/><Relationship Id="rId19" Type="http://schemas.openxmlformats.org/officeDocument/2006/relationships/hyperlink" Target="https://doi.org/10.5271/sjweh.3632" TargetMode="External"/><Relationship Id="rId4" Type="http://schemas.openxmlformats.org/officeDocument/2006/relationships/customXml" Target="../customXml/item4.xml"/><Relationship Id="rId9" Type="http://schemas.openxmlformats.org/officeDocument/2006/relationships/hyperlink" Target="https://doi.org/10.2486/indhealth.2020-0064" TargetMode="External"/><Relationship Id="rId14" Type="http://schemas.openxmlformats.org/officeDocument/2006/relationships/hyperlink" Target="https://doi.org/10.1111/j.1467-9450.2010.00813.x"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76932F74699045935D080A962EE80C" ma:contentTypeVersion="3" ma:contentTypeDescription="Crée un document." ma:contentTypeScope="" ma:versionID="e8f1375290d9b682b2c7a023afaad5cb">
  <xsd:schema xmlns:xsd="http://www.w3.org/2001/XMLSchema" xmlns:xs="http://www.w3.org/2001/XMLSchema" xmlns:p="http://schemas.microsoft.com/office/2006/metadata/properties" xmlns:ns2="bc56c8a7-069a-4e34-9335-d42c931abaec" targetNamespace="http://schemas.microsoft.com/office/2006/metadata/properties" ma:root="true" ma:fieldsID="f6b8c18867755109103f1c9eb11bf968" ns2:_="">
    <xsd:import namespace="bc56c8a7-069a-4e34-9335-d42c931aba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56c8a7-069a-4e34-9335-d42c931aba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BA40CA-D13C-412C-8283-37DFAA653FBA}">
  <ds:schemaRefs>
    <ds:schemaRef ds:uri="http://schemas.microsoft.com/sharepoint/v3/contenttype/forms"/>
  </ds:schemaRefs>
</ds:datastoreItem>
</file>

<file path=customXml/itemProps2.xml><?xml version="1.0" encoding="utf-8"?>
<ds:datastoreItem xmlns:ds="http://schemas.openxmlformats.org/officeDocument/2006/customXml" ds:itemID="{ACA3BC35-A890-4AC2-9A6C-185AD9C8C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56c8a7-069a-4e34-9335-d42c931ab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DD6FF6-B385-4D9B-B8B4-799E5DD49C87}">
  <ds:schemaRefs>
    <ds:schemaRef ds:uri="http://schemas.openxmlformats.org/officeDocument/2006/bibliography"/>
  </ds:schemaRefs>
</ds:datastoreItem>
</file>

<file path=customXml/itemProps4.xml><?xml version="1.0" encoding="utf-8"?>
<ds:datastoreItem xmlns:ds="http://schemas.openxmlformats.org/officeDocument/2006/customXml" ds:itemID="{C122D735-1270-4C2A-AAA7-DB2BFDEB41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1444</Words>
  <Characters>9609</Characters>
  <Application>Microsoft Office Word</Application>
  <DocSecurity>0</DocSecurity>
  <Lines>135</Lines>
  <Paragraphs>28</Paragraphs>
  <ScaleCrop>false</ScaleCrop>
  <HeadingPairs>
    <vt:vector size="2" baseType="variant">
      <vt:variant>
        <vt:lpstr>Titre</vt:lpstr>
      </vt:variant>
      <vt:variant>
        <vt:i4>1</vt:i4>
      </vt:variant>
    </vt:vector>
  </HeadingPairs>
  <TitlesOfParts>
    <vt:vector size="1" baseType="lpstr">
      <vt:lpstr/>
    </vt:vector>
  </TitlesOfParts>
  <Company>Université Laval</Company>
  <LinksUpToDate>false</LinksUpToDate>
  <CharactersWithSpaces>11025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Mariève Pelletier</dc:creator>
  <cp:keywords/>
  <dc:description/>
  <cp:lastModifiedBy>Lély-Rose Laurin</cp:lastModifiedBy>
  <cp:revision>3</cp:revision>
  <dcterms:created xsi:type="dcterms:W3CDTF">2026-04-17T20:42:00Z</dcterms:created>
  <dcterms:modified xsi:type="dcterms:W3CDTF">2026-04-17T20:43:00Z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0x010100E776932F74699045935D080A962EE80C</vt:lpwstr>
  </property>
  <property fmtid="{D5CDD505-2E9C-101B-9397-08002B2CF9AE}" pid="3" name="ZOTERO_PREF_1">
    <vt:lpwstr>&lt;data data-version="3" zotero-version="8.0.5"&gt;&lt;session id="vfmP9r1v"/&gt;&lt;style id="http://www.zotero.org/styles/apa" locale="en-US"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ies>
</file>