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7BDC" w14:textId="363DDC1A" w:rsidR="0052257E" w:rsidRDefault="0052257E" w:rsidP="0052257E">
      <w:pPr>
        <w:pStyle w:val="Tittel"/>
      </w:pPr>
      <w:r w:rsidRPr="00F72C3D">
        <w:t xml:space="preserve">Young NEET gamers in a supported employment program in Norway </w:t>
      </w:r>
    </w:p>
    <w:p w14:paraId="3A5B6B88" w14:textId="5A6A41F3" w:rsidR="0052257E" w:rsidRDefault="0052257E" w:rsidP="0052257E">
      <w:pPr>
        <w:pStyle w:val="Overskrift1"/>
      </w:pPr>
      <w:r>
        <w:t>Abstract (wordcount: 409)</w:t>
      </w:r>
    </w:p>
    <w:p w14:paraId="4B0208D0" w14:textId="4207A540" w:rsidR="0052257E" w:rsidRPr="0052257E" w:rsidRDefault="0052257E" w:rsidP="0052257E">
      <w:r w:rsidRPr="0052257E">
        <w:t xml:space="preserve">NEET status is commonly associated with limited social mobility, poverty, negative socioeconomic conditions, and prolonged exclusion from education and employment (Wrigley, 2017). This paper is part of a larger research project in which we developed and examined a tailored occupational training and guidance program (the </w:t>
      </w:r>
      <w:proofErr w:type="gramStart"/>
      <w:r w:rsidRPr="0052257E">
        <w:t>AFT-program</w:t>
      </w:r>
      <w:proofErr w:type="gramEnd"/>
      <w:r w:rsidRPr="0052257E">
        <w:t xml:space="preserve">) aimed at young gamers outside work and education. Local welfare counsellors (NAV) requested support for what they perceived as an especially challenging target group. From a career guidance perspective, the project explored whether competencies developed through gaming can contribute to career competencies valued in working life, and how to effectively work with clients in this group (Snipstad, Bakke, Jynge &amp; Vibeto, 2024). Grounded in career guidance theory </w:t>
      </w:r>
      <w:r>
        <w:t>emphasising</w:t>
      </w:r>
      <w:r w:rsidRPr="0052257E">
        <w:t xml:space="preserve"> meeting clients where they are, this paper asks: </w:t>
      </w:r>
      <w:r w:rsidRPr="0052257E">
        <w:rPr>
          <w:i/>
          <w:iCs/>
        </w:rPr>
        <w:t>How do young gamers outside work and education understand themselves in relation to the demands and expectations of the labour market?</w:t>
      </w:r>
    </w:p>
    <w:p w14:paraId="2818F3FF" w14:textId="77777777" w:rsidR="0052257E" w:rsidRPr="0052257E" w:rsidRDefault="0052257E" w:rsidP="0052257E">
      <w:r w:rsidRPr="0052257E">
        <w:t xml:space="preserve">The </w:t>
      </w:r>
      <w:proofErr w:type="gramStart"/>
      <w:r w:rsidRPr="0052257E">
        <w:t>AFT-program</w:t>
      </w:r>
      <w:proofErr w:type="gramEnd"/>
      <w:r w:rsidRPr="0052257E">
        <w:t xml:space="preserve"> builds on a standard framework for work clearance benefit recipients, focusing on mapping, training, and work practice within a flexible structure that can be adapted to complex client needs (</w:t>
      </w:r>
      <w:proofErr w:type="spellStart"/>
      <w:r w:rsidRPr="0052257E">
        <w:t>OsloEconomics</w:t>
      </w:r>
      <w:proofErr w:type="spellEnd"/>
      <w:r w:rsidRPr="0052257E">
        <w:t>, 2020). We developed the program as an action-research intervention (Brinkmann &amp; Tanggaard, 2010; Johnson &amp; Christensen, 2014), allowing for both tailored support and systematic research. Participants attended three days a week, engaging in individual and group guidance, joint discussions of employment-related topics, and gaming-based activities designed to foster social cohesion and career learning. Career guidance and employability training—such as skills mapping, interview preparation, and CV work—also took place in-game. Researchers conducted participatory observation and individual and group interviews over a nine-month period.</w:t>
      </w:r>
    </w:p>
    <w:p w14:paraId="60554EB5" w14:textId="77777777" w:rsidR="0052257E" w:rsidRPr="0052257E" w:rsidRDefault="0052257E" w:rsidP="0052257E">
      <w:r w:rsidRPr="0052257E">
        <w:t>Observation and interview data were analysed using a collective thematic analysis approach (</w:t>
      </w:r>
      <w:proofErr w:type="spellStart"/>
      <w:r w:rsidRPr="0052257E">
        <w:t>Eggebø</w:t>
      </w:r>
      <w:proofErr w:type="spellEnd"/>
      <w:r w:rsidRPr="0052257E">
        <w:t xml:space="preserve">, 2020), supported by abductive reasoning. Shakespeare’s (2014) relational model of exclusion guided the analysis, conceptualising exclusion as the interaction between intrinsic factors (e.g. psychological or biological conditions) and extrinsic factors (e.g. social barriers). In this study, “disability” refers to </w:t>
      </w:r>
      <w:proofErr w:type="gramStart"/>
      <w:r w:rsidRPr="0052257E">
        <w:t>participants’</w:t>
      </w:r>
      <w:proofErr w:type="gramEnd"/>
      <w:r w:rsidRPr="0052257E">
        <w:t xml:space="preserve"> perceived inability to function in education or work.</w:t>
      </w:r>
    </w:p>
    <w:p w14:paraId="43B96420" w14:textId="77777777" w:rsidR="0052257E" w:rsidRDefault="0052257E" w:rsidP="0052257E">
      <w:r w:rsidRPr="0052257E">
        <w:t xml:space="preserve">Findings reveal substantial diversity in participants’ challenges, including autism, anxiety, depression, and experiences of psychosocial exclusion. Despite this variation, gaming consistently emerged as a source of mastery, learning, and social belonging. </w:t>
      </w:r>
      <w:r w:rsidRPr="0052257E">
        <w:lastRenderedPageBreak/>
        <w:t>However, repeated failures in education and work, combined with stigma surrounding gaming, led participants to feel their skills—such as problem-solving, coordination, leadership, and systems understanding—were unrecognised by employers. From a career guidance perspective, this highlights the need for carefully designed interventions to support transitions into education or employment by addressing both individual needs and structural barriers.</w:t>
      </w:r>
    </w:p>
    <w:p w14:paraId="66243A95" w14:textId="46857E8B" w:rsidR="0052257E" w:rsidRPr="0052257E" w:rsidRDefault="0052257E" w:rsidP="0052257E">
      <w:pPr>
        <w:pStyle w:val="Overskrift1"/>
        <w:rPr>
          <w:lang w:val="nb-NO"/>
        </w:rPr>
      </w:pPr>
      <w:r w:rsidRPr="0052257E">
        <w:rPr>
          <w:lang w:val="nb-NO"/>
        </w:rPr>
        <w:t>References</w:t>
      </w:r>
    </w:p>
    <w:p w14:paraId="74E4A4CD" w14:textId="77777777" w:rsidR="0052257E" w:rsidRPr="00F72C3D" w:rsidRDefault="0052257E" w:rsidP="0052257E">
      <w:pPr>
        <w:rPr>
          <w:lang w:val="nb-NO"/>
        </w:rPr>
      </w:pPr>
      <w:proofErr w:type="spellStart"/>
      <w:r w:rsidRPr="00F72C3D">
        <w:rPr>
          <w:lang w:val="nb-NO"/>
        </w:rPr>
        <w:t>Brinkmann</w:t>
      </w:r>
      <w:proofErr w:type="spellEnd"/>
      <w:r w:rsidRPr="00F72C3D">
        <w:rPr>
          <w:lang w:val="nb-NO"/>
        </w:rPr>
        <w:t xml:space="preserve">, S., &amp; </w:t>
      </w:r>
      <w:proofErr w:type="spellStart"/>
      <w:r w:rsidRPr="00F72C3D">
        <w:rPr>
          <w:lang w:val="nb-NO"/>
        </w:rPr>
        <w:t>Tanggaard</w:t>
      </w:r>
      <w:proofErr w:type="spellEnd"/>
      <w:r w:rsidRPr="00F72C3D">
        <w:rPr>
          <w:lang w:val="nb-NO"/>
        </w:rPr>
        <w:t xml:space="preserve">, L. (2010). </w:t>
      </w:r>
      <w:r w:rsidRPr="00F72C3D">
        <w:rPr>
          <w:i/>
          <w:iCs/>
          <w:lang w:val="nb-NO"/>
        </w:rPr>
        <w:t xml:space="preserve">Kvalitative </w:t>
      </w:r>
      <w:proofErr w:type="gramStart"/>
      <w:r w:rsidRPr="00F72C3D">
        <w:rPr>
          <w:i/>
          <w:iCs/>
          <w:lang w:val="nb-NO"/>
        </w:rPr>
        <w:t>metoder :</w:t>
      </w:r>
      <w:proofErr w:type="gramEnd"/>
      <w:r w:rsidRPr="00F72C3D">
        <w:rPr>
          <w:i/>
          <w:iCs/>
          <w:lang w:val="nb-NO"/>
        </w:rPr>
        <w:t xml:space="preserve"> en </w:t>
      </w:r>
      <w:proofErr w:type="spellStart"/>
      <w:r w:rsidRPr="00F72C3D">
        <w:rPr>
          <w:i/>
          <w:iCs/>
          <w:lang w:val="nb-NO"/>
        </w:rPr>
        <w:t>grundbog</w:t>
      </w:r>
      <w:proofErr w:type="spellEnd"/>
      <w:r w:rsidRPr="00F72C3D">
        <w:rPr>
          <w:lang w:val="nb-NO"/>
        </w:rPr>
        <w:t>.</w:t>
      </w:r>
    </w:p>
    <w:p w14:paraId="02934A6E" w14:textId="77777777" w:rsidR="0052257E" w:rsidRPr="00F72C3D" w:rsidRDefault="0052257E" w:rsidP="0052257E">
      <w:pPr>
        <w:rPr>
          <w:lang w:val="nb-NO"/>
        </w:rPr>
      </w:pPr>
      <w:r w:rsidRPr="00F72C3D">
        <w:rPr>
          <w:lang w:val="nb-NO"/>
        </w:rPr>
        <w:t xml:space="preserve">Eggebø, H. (2020). Kollektiv kvalitativ analyse. </w:t>
      </w:r>
      <w:r w:rsidRPr="00F72C3D">
        <w:rPr>
          <w:i/>
          <w:iCs/>
          <w:lang w:val="nb-NO"/>
        </w:rPr>
        <w:t>Norsk sosiologisk tidsskrift</w:t>
      </w:r>
      <w:r w:rsidRPr="00F72C3D">
        <w:rPr>
          <w:lang w:val="nb-NO"/>
        </w:rPr>
        <w:t xml:space="preserve">, </w:t>
      </w:r>
      <w:r w:rsidRPr="00F72C3D">
        <w:rPr>
          <w:i/>
          <w:iCs/>
          <w:lang w:val="nb-NO"/>
        </w:rPr>
        <w:t>4</w:t>
      </w:r>
      <w:r w:rsidRPr="00F72C3D">
        <w:rPr>
          <w:lang w:val="nb-NO"/>
        </w:rPr>
        <w:t xml:space="preserve">(2), 106-122. </w:t>
      </w:r>
      <w:hyperlink r:id="rId4" w:history="1">
        <w:r w:rsidRPr="00F72C3D">
          <w:rPr>
            <w:rStyle w:val="Hyperkobling"/>
            <w:lang w:val="nb-NO"/>
          </w:rPr>
          <w:t>https://doi.org/10.18261/issn.2535-2512-2020-02-03</w:t>
        </w:r>
      </w:hyperlink>
    </w:p>
    <w:p w14:paraId="679B1E79" w14:textId="77777777" w:rsidR="0052257E" w:rsidRPr="00F72C3D" w:rsidRDefault="0052257E" w:rsidP="0052257E">
      <w:pPr>
        <w:rPr>
          <w:lang w:val="nb-NO"/>
        </w:rPr>
      </w:pPr>
      <w:r w:rsidRPr="00F72C3D">
        <w:rPr>
          <w:lang w:val="nb-NO"/>
        </w:rPr>
        <w:t>Fangen, K. (2010). Deltagende observasjon. Fagbokforlaget.</w:t>
      </w:r>
    </w:p>
    <w:p w14:paraId="44ECF0DC" w14:textId="77777777" w:rsidR="0052257E" w:rsidRPr="00F72C3D" w:rsidRDefault="0052257E" w:rsidP="0052257E">
      <w:pPr>
        <w:rPr>
          <w:lang w:val="nb-NO"/>
        </w:rPr>
      </w:pPr>
      <w:r w:rsidRPr="00F72C3D">
        <w:t xml:space="preserve">Johnson, B., &amp; Christensen, L. B. (2014). </w:t>
      </w:r>
      <w:r w:rsidRPr="00F72C3D">
        <w:rPr>
          <w:i/>
          <w:iCs/>
        </w:rPr>
        <w:t xml:space="preserve">Educational </w:t>
      </w:r>
      <w:proofErr w:type="gramStart"/>
      <w:r w:rsidRPr="00F72C3D">
        <w:rPr>
          <w:i/>
          <w:iCs/>
        </w:rPr>
        <w:t>research :</w:t>
      </w:r>
      <w:proofErr w:type="gramEnd"/>
      <w:r w:rsidRPr="00F72C3D">
        <w:rPr>
          <w:i/>
          <w:iCs/>
        </w:rPr>
        <w:t xml:space="preserve"> quantitative, qualitative, and mixed approaches</w:t>
      </w:r>
      <w:r w:rsidRPr="00F72C3D">
        <w:t xml:space="preserve"> (5th ed. ed.). </w:t>
      </w:r>
      <w:r w:rsidRPr="00F72C3D">
        <w:rPr>
          <w:lang w:val="nb-NO"/>
        </w:rPr>
        <w:t>Sage.</w:t>
      </w:r>
    </w:p>
    <w:p w14:paraId="50E0FDCA" w14:textId="77777777" w:rsidR="0052257E" w:rsidRPr="00F72C3D" w:rsidRDefault="0052257E" w:rsidP="0052257E">
      <w:pPr>
        <w:rPr>
          <w:lang w:val="nb-NO"/>
        </w:rPr>
      </w:pPr>
      <w:r w:rsidRPr="00F72C3D">
        <w:rPr>
          <w:lang w:val="nb-NO"/>
        </w:rPr>
        <w:t xml:space="preserve">(2020). </w:t>
      </w:r>
      <w:r w:rsidRPr="00F72C3D">
        <w:rPr>
          <w:i/>
          <w:iCs/>
          <w:lang w:val="nb-NO"/>
        </w:rPr>
        <w:t>Arbeidsforberedende trening (AFT) [</w:t>
      </w:r>
      <w:proofErr w:type="spellStart"/>
      <w:r w:rsidRPr="00F72C3D">
        <w:rPr>
          <w:i/>
          <w:iCs/>
          <w:lang w:val="nb-NO"/>
        </w:rPr>
        <w:t>Work</w:t>
      </w:r>
      <w:proofErr w:type="spellEnd"/>
      <w:r w:rsidRPr="00F72C3D">
        <w:rPr>
          <w:i/>
          <w:iCs/>
          <w:lang w:val="nb-NO"/>
        </w:rPr>
        <w:t>-preparing training]</w:t>
      </w:r>
      <w:r w:rsidRPr="00F72C3D">
        <w:rPr>
          <w:lang w:val="nb-NO"/>
        </w:rPr>
        <w:t xml:space="preserve">. </w:t>
      </w:r>
      <w:hyperlink r:id="rId5" w:history="1">
        <w:r w:rsidRPr="00F72C3D">
          <w:rPr>
            <w:rStyle w:val="Hyperkobling"/>
            <w:lang w:val="nb-NO"/>
          </w:rPr>
          <w:t>https://www.nav.no/no/nav-og-samfunn/kunnskap/forskningsrapporter-og-evalueringer-finansiert-av-nav/rapporter-navs-tiltak-og-virkemidler/arbeidsforberedende-trening-aft</w:t>
        </w:r>
      </w:hyperlink>
    </w:p>
    <w:p w14:paraId="62750E5D" w14:textId="77777777" w:rsidR="0052257E" w:rsidRPr="00F72C3D" w:rsidRDefault="0052257E" w:rsidP="0052257E">
      <w:r w:rsidRPr="00F72C3D">
        <w:t xml:space="preserve">Shakespeare, T. (2014). </w:t>
      </w:r>
      <w:r w:rsidRPr="00F72C3D">
        <w:rPr>
          <w:i/>
          <w:iCs/>
        </w:rPr>
        <w:t>Disability rights and wrongs revisited</w:t>
      </w:r>
      <w:r w:rsidRPr="00F72C3D">
        <w:t xml:space="preserve"> (2 ed.). Routledge.</w:t>
      </w:r>
    </w:p>
    <w:p w14:paraId="3FB4F9C6" w14:textId="77777777" w:rsidR="0052257E" w:rsidRPr="00F72C3D" w:rsidRDefault="0052257E" w:rsidP="0052257E">
      <w:r w:rsidRPr="00F72C3D">
        <w:t xml:space="preserve">Snipstad, Ø. I. M., Bakke, I. B., Jynge, J. S. B. &amp; Vibeto, H. (2024) Young Gamers Outside Education, Employment or Training: Translating Computer Gaming Skills to Job Relevant Competencies. In K </w:t>
      </w:r>
      <w:proofErr w:type="spellStart"/>
      <w:r w:rsidRPr="00F72C3D">
        <w:t>Kilså</w:t>
      </w:r>
      <w:proofErr w:type="spellEnd"/>
      <w:r w:rsidRPr="00F72C3D">
        <w:t xml:space="preserve"> &amp; R. V. Basaiawmoit (Eds.), </w:t>
      </w:r>
      <w:r w:rsidRPr="00F72C3D">
        <w:rPr>
          <w:i/>
          <w:iCs/>
        </w:rPr>
        <w:t>Proceedings of the 18</w:t>
      </w:r>
      <w:r w:rsidRPr="00F72C3D">
        <w:rPr>
          <w:i/>
          <w:iCs/>
          <w:vertAlign w:val="superscript"/>
        </w:rPr>
        <w:t>th</w:t>
      </w:r>
      <w:r w:rsidRPr="00F72C3D">
        <w:rPr>
          <w:i/>
          <w:iCs/>
        </w:rPr>
        <w:t xml:space="preserve"> European Conference on Game Based Learning. Academic Conferences</w:t>
      </w:r>
      <w:r w:rsidRPr="00F72C3D">
        <w:t xml:space="preserve"> (pp. 1070 – 1073). Academic Conferences International Ltd. </w:t>
      </w:r>
      <w:hyperlink r:id="rId6" w:history="1">
        <w:r w:rsidRPr="00F72C3D">
          <w:rPr>
            <w:rStyle w:val="Hyperkobling"/>
          </w:rPr>
          <w:t>https://papers.academic-conferences.org/index.php/ecgbl/issue/view/37</w:t>
        </w:r>
      </w:hyperlink>
    </w:p>
    <w:p w14:paraId="2AD7C866" w14:textId="1CDF01AA" w:rsidR="0052257E" w:rsidRPr="0052257E" w:rsidRDefault="0052257E" w:rsidP="0052257E">
      <w:r w:rsidRPr="00F72C3D">
        <w:t>Wrigley, L. M. (2017). From ‘</w:t>
      </w:r>
      <w:proofErr w:type="spellStart"/>
      <w:r w:rsidRPr="00F72C3D">
        <w:t>NEET’to</w:t>
      </w:r>
      <w:proofErr w:type="spellEnd"/>
      <w:r w:rsidRPr="00F72C3D">
        <w:t xml:space="preserve"> ‘Unknown’: Who is responsible for young people not in education, employment or </w:t>
      </w:r>
      <w:proofErr w:type="gramStart"/>
      <w:r w:rsidRPr="00F72C3D">
        <w:t>training?.</w:t>
      </w:r>
      <w:proofErr w:type="gramEnd"/>
      <w:r w:rsidRPr="00F72C3D">
        <w:t xml:space="preserve"> </w:t>
      </w:r>
      <w:proofErr w:type="spellStart"/>
      <w:r w:rsidRPr="00F72C3D">
        <w:rPr>
          <w:i/>
          <w:iCs/>
          <w:lang w:val="nb-NO"/>
        </w:rPr>
        <w:t>Youth</w:t>
      </w:r>
      <w:proofErr w:type="spellEnd"/>
      <w:r w:rsidRPr="00F72C3D">
        <w:rPr>
          <w:i/>
          <w:iCs/>
          <w:lang w:val="nb-NO"/>
        </w:rPr>
        <w:t xml:space="preserve"> and Policy: </w:t>
      </w:r>
      <w:proofErr w:type="spellStart"/>
      <w:r w:rsidRPr="00F72C3D">
        <w:rPr>
          <w:i/>
          <w:iCs/>
          <w:lang w:val="nb-NO"/>
        </w:rPr>
        <w:t>the</w:t>
      </w:r>
      <w:proofErr w:type="spellEnd"/>
      <w:r w:rsidRPr="00F72C3D">
        <w:rPr>
          <w:i/>
          <w:iCs/>
          <w:lang w:val="nb-NO"/>
        </w:rPr>
        <w:t xml:space="preserve"> journal </w:t>
      </w:r>
      <w:proofErr w:type="spellStart"/>
      <w:r w:rsidRPr="00F72C3D">
        <w:rPr>
          <w:i/>
          <w:iCs/>
          <w:lang w:val="nb-NO"/>
        </w:rPr>
        <w:t>of</w:t>
      </w:r>
      <w:proofErr w:type="spellEnd"/>
      <w:r w:rsidRPr="00F72C3D">
        <w:rPr>
          <w:i/>
          <w:iCs/>
          <w:lang w:val="nb-NO"/>
        </w:rPr>
        <w:t xml:space="preserve"> </w:t>
      </w:r>
      <w:proofErr w:type="spellStart"/>
      <w:r w:rsidRPr="00F72C3D">
        <w:rPr>
          <w:i/>
          <w:iCs/>
          <w:lang w:val="nb-NO"/>
        </w:rPr>
        <w:t>critical</w:t>
      </w:r>
      <w:proofErr w:type="spellEnd"/>
      <w:r w:rsidRPr="00F72C3D">
        <w:rPr>
          <w:i/>
          <w:iCs/>
          <w:lang w:val="nb-NO"/>
        </w:rPr>
        <w:t xml:space="preserve"> </w:t>
      </w:r>
      <w:proofErr w:type="spellStart"/>
      <w:r w:rsidRPr="00F72C3D">
        <w:rPr>
          <w:i/>
          <w:iCs/>
          <w:lang w:val="nb-NO"/>
        </w:rPr>
        <w:t>analysis</w:t>
      </w:r>
      <w:proofErr w:type="spellEnd"/>
      <w:r w:rsidRPr="00F72C3D">
        <w:rPr>
          <w:lang w:val="nb-NO"/>
        </w:rPr>
        <w:t>.</w:t>
      </w:r>
    </w:p>
    <w:p w14:paraId="149C78A1" w14:textId="77777777" w:rsidR="00195D1B" w:rsidRDefault="00195D1B"/>
    <w:sectPr w:rsidR="00195D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57E"/>
    <w:rsid w:val="000226E8"/>
    <w:rsid w:val="00195D1B"/>
    <w:rsid w:val="003122DE"/>
    <w:rsid w:val="00433DE0"/>
    <w:rsid w:val="0052257E"/>
    <w:rsid w:val="00F25C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AAF1"/>
  <w15:chartTrackingRefBased/>
  <w15:docId w15:val="{45E615DE-7205-4F8F-9A23-B0F96759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522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22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2257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2257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2257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2257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2257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2257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2257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2257E"/>
    <w:rPr>
      <w:rFonts w:asciiTheme="majorHAnsi" w:eastAsiaTheme="majorEastAsia" w:hAnsiTheme="majorHAnsi" w:cstheme="majorBidi"/>
      <w:color w:val="0F4761" w:themeColor="accent1" w:themeShade="BF"/>
      <w:sz w:val="40"/>
      <w:szCs w:val="40"/>
      <w:lang w:val="en-GB"/>
    </w:rPr>
  </w:style>
  <w:style w:type="character" w:customStyle="1" w:styleId="Overskrift2Tegn">
    <w:name w:val="Overskrift 2 Tegn"/>
    <w:basedOn w:val="Standardskriftforavsnitt"/>
    <w:link w:val="Overskrift2"/>
    <w:uiPriority w:val="9"/>
    <w:semiHidden/>
    <w:rsid w:val="0052257E"/>
    <w:rPr>
      <w:rFonts w:asciiTheme="majorHAnsi" w:eastAsiaTheme="majorEastAsia" w:hAnsiTheme="majorHAnsi" w:cstheme="majorBidi"/>
      <w:color w:val="0F4761" w:themeColor="accent1" w:themeShade="BF"/>
      <w:sz w:val="32"/>
      <w:szCs w:val="32"/>
      <w:lang w:val="en-GB"/>
    </w:rPr>
  </w:style>
  <w:style w:type="character" w:customStyle="1" w:styleId="Overskrift3Tegn">
    <w:name w:val="Overskrift 3 Tegn"/>
    <w:basedOn w:val="Standardskriftforavsnitt"/>
    <w:link w:val="Overskrift3"/>
    <w:uiPriority w:val="9"/>
    <w:semiHidden/>
    <w:rsid w:val="0052257E"/>
    <w:rPr>
      <w:rFonts w:eastAsiaTheme="majorEastAsia" w:cstheme="majorBidi"/>
      <w:color w:val="0F4761" w:themeColor="accent1" w:themeShade="BF"/>
      <w:sz w:val="28"/>
      <w:szCs w:val="28"/>
      <w:lang w:val="en-GB"/>
    </w:rPr>
  </w:style>
  <w:style w:type="character" w:customStyle="1" w:styleId="Overskrift4Tegn">
    <w:name w:val="Overskrift 4 Tegn"/>
    <w:basedOn w:val="Standardskriftforavsnitt"/>
    <w:link w:val="Overskrift4"/>
    <w:uiPriority w:val="9"/>
    <w:semiHidden/>
    <w:rsid w:val="0052257E"/>
    <w:rPr>
      <w:rFonts w:eastAsiaTheme="majorEastAsia" w:cstheme="majorBidi"/>
      <w:i/>
      <w:iCs/>
      <w:color w:val="0F4761" w:themeColor="accent1" w:themeShade="BF"/>
      <w:lang w:val="en-GB"/>
    </w:rPr>
  </w:style>
  <w:style w:type="character" w:customStyle="1" w:styleId="Overskrift5Tegn">
    <w:name w:val="Overskrift 5 Tegn"/>
    <w:basedOn w:val="Standardskriftforavsnitt"/>
    <w:link w:val="Overskrift5"/>
    <w:uiPriority w:val="9"/>
    <w:semiHidden/>
    <w:rsid w:val="0052257E"/>
    <w:rPr>
      <w:rFonts w:eastAsiaTheme="majorEastAsia" w:cstheme="majorBidi"/>
      <w:color w:val="0F4761" w:themeColor="accent1" w:themeShade="BF"/>
      <w:lang w:val="en-GB"/>
    </w:rPr>
  </w:style>
  <w:style w:type="character" w:customStyle="1" w:styleId="Overskrift6Tegn">
    <w:name w:val="Overskrift 6 Tegn"/>
    <w:basedOn w:val="Standardskriftforavsnitt"/>
    <w:link w:val="Overskrift6"/>
    <w:uiPriority w:val="9"/>
    <w:semiHidden/>
    <w:rsid w:val="0052257E"/>
    <w:rPr>
      <w:rFonts w:eastAsiaTheme="majorEastAsia" w:cstheme="majorBidi"/>
      <w:i/>
      <w:iCs/>
      <w:color w:val="595959" w:themeColor="text1" w:themeTint="A6"/>
      <w:lang w:val="en-GB"/>
    </w:rPr>
  </w:style>
  <w:style w:type="character" w:customStyle="1" w:styleId="Overskrift7Tegn">
    <w:name w:val="Overskrift 7 Tegn"/>
    <w:basedOn w:val="Standardskriftforavsnitt"/>
    <w:link w:val="Overskrift7"/>
    <w:uiPriority w:val="9"/>
    <w:semiHidden/>
    <w:rsid w:val="0052257E"/>
    <w:rPr>
      <w:rFonts w:eastAsiaTheme="majorEastAsia" w:cstheme="majorBidi"/>
      <w:color w:val="595959" w:themeColor="text1" w:themeTint="A6"/>
      <w:lang w:val="en-GB"/>
    </w:rPr>
  </w:style>
  <w:style w:type="character" w:customStyle="1" w:styleId="Overskrift8Tegn">
    <w:name w:val="Overskrift 8 Tegn"/>
    <w:basedOn w:val="Standardskriftforavsnitt"/>
    <w:link w:val="Overskrift8"/>
    <w:uiPriority w:val="9"/>
    <w:semiHidden/>
    <w:rsid w:val="0052257E"/>
    <w:rPr>
      <w:rFonts w:eastAsiaTheme="majorEastAsia" w:cstheme="majorBidi"/>
      <w:i/>
      <w:iCs/>
      <w:color w:val="272727" w:themeColor="text1" w:themeTint="D8"/>
      <w:lang w:val="en-GB"/>
    </w:rPr>
  </w:style>
  <w:style w:type="character" w:customStyle="1" w:styleId="Overskrift9Tegn">
    <w:name w:val="Overskrift 9 Tegn"/>
    <w:basedOn w:val="Standardskriftforavsnitt"/>
    <w:link w:val="Overskrift9"/>
    <w:uiPriority w:val="9"/>
    <w:semiHidden/>
    <w:rsid w:val="0052257E"/>
    <w:rPr>
      <w:rFonts w:eastAsiaTheme="majorEastAsia" w:cstheme="majorBidi"/>
      <w:color w:val="272727" w:themeColor="text1" w:themeTint="D8"/>
      <w:lang w:val="en-GB"/>
    </w:rPr>
  </w:style>
  <w:style w:type="paragraph" w:styleId="Tittel">
    <w:name w:val="Title"/>
    <w:basedOn w:val="Normal"/>
    <w:next w:val="Normal"/>
    <w:link w:val="TittelTegn"/>
    <w:uiPriority w:val="10"/>
    <w:qFormat/>
    <w:rsid w:val="00522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2257E"/>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52257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2257E"/>
    <w:rPr>
      <w:rFonts w:eastAsiaTheme="majorEastAsia" w:cstheme="majorBidi"/>
      <w:color w:val="595959" w:themeColor="text1" w:themeTint="A6"/>
      <w:spacing w:val="15"/>
      <w:sz w:val="28"/>
      <w:szCs w:val="28"/>
      <w:lang w:val="en-GB"/>
    </w:rPr>
  </w:style>
  <w:style w:type="paragraph" w:styleId="Sitat">
    <w:name w:val="Quote"/>
    <w:basedOn w:val="Normal"/>
    <w:next w:val="Normal"/>
    <w:link w:val="SitatTegn"/>
    <w:uiPriority w:val="29"/>
    <w:qFormat/>
    <w:rsid w:val="0052257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2257E"/>
    <w:rPr>
      <w:i/>
      <w:iCs/>
      <w:color w:val="404040" w:themeColor="text1" w:themeTint="BF"/>
      <w:lang w:val="en-GB"/>
    </w:rPr>
  </w:style>
  <w:style w:type="paragraph" w:styleId="Listeavsnitt">
    <w:name w:val="List Paragraph"/>
    <w:basedOn w:val="Normal"/>
    <w:uiPriority w:val="34"/>
    <w:qFormat/>
    <w:rsid w:val="0052257E"/>
    <w:pPr>
      <w:ind w:left="720"/>
      <w:contextualSpacing/>
    </w:pPr>
  </w:style>
  <w:style w:type="character" w:styleId="Sterkutheving">
    <w:name w:val="Intense Emphasis"/>
    <w:basedOn w:val="Standardskriftforavsnitt"/>
    <w:uiPriority w:val="21"/>
    <w:qFormat/>
    <w:rsid w:val="0052257E"/>
    <w:rPr>
      <w:i/>
      <w:iCs/>
      <w:color w:val="0F4761" w:themeColor="accent1" w:themeShade="BF"/>
    </w:rPr>
  </w:style>
  <w:style w:type="paragraph" w:styleId="Sterktsitat">
    <w:name w:val="Intense Quote"/>
    <w:basedOn w:val="Normal"/>
    <w:next w:val="Normal"/>
    <w:link w:val="SterktsitatTegn"/>
    <w:uiPriority w:val="30"/>
    <w:qFormat/>
    <w:rsid w:val="00522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2257E"/>
    <w:rPr>
      <w:i/>
      <w:iCs/>
      <w:color w:val="0F4761" w:themeColor="accent1" w:themeShade="BF"/>
      <w:lang w:val="en-GB"/>
    </w:rPr>
  </w:style>
  <w:style w:type="character" w:styleId="Sterkreferanse">
    <w:name w:val="Intense Reference"/>
    <w:basedOn w:val="Standardskriftforavsnitt"/>
    <w:uiPriority w:val="32"/>
    <w:qFormat/>
    <w:rsid w:val="0052257E"/>
    <w:rPr>
      <w:b/>
      <w:bCs/>
      <w:smallCaps/>
      <w:color w:val="0F4761" w:themeColor="accent1" w:themeShade="BF"/>
      <w:spacing w:val="5"/>
    </w:rPr>
  </w:style>
  <w:style w:type="character" w:styleId="Hyperkobling">
    <w:name w:val="Hyperlink"/>
    <w:basedOn w:val="Standardskriftforavsnitt"/>
    <w:uiPriority w:val="99"/>
    <w:unhideWhenUsed/>
    <w:rsid w:val="005225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4.safelinks.protection.outlook.com/?url=https%3A%2F%2Fpapers.academic-conferences.org%2Findex.php%2Fecgbl%2Fissue%2Fview%2F37&amp;data=05%7C02%7Cingrid.bardsdatter.bakke%40inn.no%7Cf5a444004cf14de3624708dd7113afa7%7Cd45cfa45904a497297413335dc0372b4%7C0%7C0%7C638791051568776719%7CUnknown%7CTWFpbGZsb3d8eyJFbXB0eU1hcGkiOnRydWUsIlYiOiIwLjAuMDAwMCIsIlAiOiJXaW4zMiIsIkFOIjoiTWFpbCIsIldUIjoyfQ%3D%3D%7C0%7C%7C%7C&amp;sdata=euYt%2FFgjooTs1O7jA7VAMY3xW%2FZNGQhFKfOLkgw6APM%3D&amp;reserved=0" TargetMode="External"/><Relationship Id="rId5" Type="http://schemas.openxmlformats.org/officeDocument/2006/relationships/hyperlink" Target="https://eur04.safelinks.protection.outlook.com/?url=https%3A%2F%2Fwww.nav.no%2Fno%2Fnav-og-samfunn%2Fkunnskap%2Fforskningsrapporter-og-evalueringer-finansiert-av-nav%2Frapporter-navs-tiltak-og-virkemidler%2Farbeidsforberedende-trening-aft&amp;data=05%7C02%7Cingrid.bardsdatter.bakke%40inn.no%7Cf5a444004cf14de3624708dd7113afa7%7Cd45cfa45904a497297413335dc0372b4%7C0%7C0%7C638791051568739201%7CUnknown%7CTWFpbGZsb3d8eyJFbXB0eU1hcGkiOnRydWUsIlYiOiIwLjAuMDAwMCIsIlAiOiJXaW4zMiIsIkFOIjoiTWFpbCIsIldUIjoyfQ%3D%3D%7C0%7C%7C%7C&amp;sdata=lDnWc2OOqv%2FLBaEUxGHJjZNK6zCOw%2FCraanJlpZVvnE%3D&amp;reserved=0" TargetMode="External"/><Relationship Id="rId4" Type="http://schemas.openxmlformats.org/officeDocument/2006/relationships/hyperlink" Target="https://eur04.safelinks.protection.outlook.com/?url=https%3A%2F%2Fdoi.org%2F10.18261%2Fissn.2535-2512-2020-02-03&amp;data=05%7C02%7Cingrid.bardsdatter.bakke%40inn.no%7Cf5a444004cf14de3624708dd7113afa7%7Cd45cfa45904a497297413335dc0372b4%7C0%7C0%7C638791051568689251%7CUnknown%7CTWFpbGZsb3d8eyJFbXB0eU1hcGkiOnRydWUsIlYiOiIwLjAuMDAwMCIsIlAiOiJXaW4zMiIsIkFOIjoiTWFpbCIsIldUIjoyfQ%3D%3D%7C0%7C%7C%7C&amp;sdata=VBNLccyNAELouMGqvf2%2BqtblY3GlMrL%2BqO4D444a31E%3D&amp;reserved=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964</Words>
  <Characters>5115</Characters>
  <Application>Microsoft Office Word</Application>
  <DocSecurity>0</DocSecurity>
  <Lines>42</Lines>
  <Paragraphs>12</Paragraphs>
  <ScaleCrop>false</ScaleCrop>
  <Company>HINN</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Bårdsdatter Bakke</dc:creator>
  <cp:keywords/>
  <dc:description/>
  <cp:lastModifiedBy>Ingrid Bårdsdatter Bakke</cp:lastModifiedBy>
  <cp:revision>1</cp:revision>
  <dcterms:created xsi:type="dcterms:W3CDTF">2026-04-17T09:19:00Z</dcterms:created>
  <dcterms:modified xsi:type="dcterms:W3CDTF">2026-04-17T09:24:00Z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c0aa853a-5f4f-4130-877b-46aea63f976a</vt:lpwstr>
  </property>
</Properties>
</file>