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E0F228" w14:textId="24F04E41" w:rsidR="00D74D60" w:rsidRPr="00D74D60" w:rsidRDefault="00D74D60" w:rsidP="00D74D60">
      <w:pPr>
        <w:shd w:val="clear" w:color="auto" w:fill="FFFFFF"/>
        <w:spacing w:before="100" w:beforeAutospacing="1" w:after="100" w:afterAutospacing="1" w:line="360" w:lineRule="auto"/>
        <w:jc w:val="both"/>
        <w:rPr>
          <w:rFonts w:ascii="Calibri" w:eastAsia="Times New Roman" w:hAnsi="Calibri" w:cs="Calibri"/>
          <w:color w:val="000000"/>
          <w:spacing w:val="-2"/>
          <w:kern w:val="0"/>
          <w:sz w:val="22"/>
          <w:szCs w:val="22"/>
          <w14:ligatures w14:val="none"/>
        </w:rPr>
      </w:pPr>
      <w:r w:rsidRPr="00D74D60">
        <w:rPr>
          <w:rFonts w:ascii="Calibri" w:eastAsia="Times New Roman" w:hAnsi="Calibri" w:cs="Calibri"/>
          <w:color w:val="000000"/>
          <w:spacing w:val="-2"/>
          <w:kern w:val="0"/>
          <w:sz w:val="22"/>
          <w:szCs w:val="22"/>
          <w14:ligatures w14:val="none"/>
        </w:rPr>
        <w:t>Family name and first name of the first contributor/author/discussant or chair</w:t>
      </w:r>
      <w:r w:rsidRPr="00D74D60">
        <w:rPr>
          <w:rFonts w:ascii="Calibri" w:eastAsia="Times New Roman" w:hAnsi="Calibri" w:cs="Calibri"/>
          <w:color w:val="000000"/>
          <w:spacing w:val="-2"/>
          <w:kern w:val="0"/>
          <w:sz w:val="22"/>
          <w:szCs w:val="22"/>
          <w14:ligatures w14:val="none"/>
        </w:rPr>
        <w:t>: Ooi Pei Boon</w:t>
      </w:r>
    </w:p>
    <w:p w14:paraId="71B6AE96" w14:textId="453A185A" w:rsidR="00D74D60" w:rsidRPr="00D74D60" w:rsidRDefault="00D74D60" w:rsidP="00D74D60">
      <w:pPr>
        <w:shd w:val="clear" w:color="auto" w:fill="FFFFFF"/>
        <w:spacing w:before="100" w:beforeAutospacing="1" w:after="100" w:afterAutospacing="1" w:line="360" w:lineRule="auto"/>
        <w:jc w:val="both"/>
        <w:rPr>
          <w:rFonts w:ascii="Calibri" w:eastAsia="Times New Roman" w:hAnsi="Calibri" w:cs="Calibri"/>
          <w:color w:val="000000"/>
          <w:spacing w:val="-2"/>
          <w:kern w:val="0"/>
          <w:sz w:val="22"/>
          <w:szCs w:val="22"/>
          <w14:ligatures w14:val="none"/>
        </w:rPr>
      </w:pPr>
      <w:r w:rsidRPr="00D74D60">
        <w:rPr>
          <w:rFonts w:ascii="Calibri" w:eastAsia="Times New Roman" w:hAnsi="Calibri" w:cs="Calibri"/>
          <w:color w:val="000000"/>
          <w:spacing w:val="-2"/>
          <w:kern w:val="0"/>
          <w:sz w:val="22"/>
          <w:szCs w:val="22"/>
          <w14:ligatures w14:val="none"/>
        </w:rPr>
        <w:t>Title/position of the first contributor/author</w:t>
      </w:r>
      <w:r w:rsidRPr="00D74D60">
        <w:rPr>
          <w:rFonts w:ascii="Calibri" w:eastAsia="Times New Roman" w:hAnsi="Calibri" w:cs="Calibri"/>
          <w:color w:val="000000"/>
          <w:spacing w:val="-2"/>
          <w:kern w:val="0"/>
          <w:sz w:val="22"/>
          <w:szCs w:val="22"/>
          <w14:ligatures w14:val="none"/>
        </w:rPr>
        <w:t>: Associate Professor</w:t>
      </w:r>
    </w:p>
    <w:p w14:paraId="0854AA54" w14:textId="0EE22A36" w:rsidR="00D74D60" w:rsidRPr="00D74D60" w:rsidRDefault="00D74D60" w:rsidP="00D74D60">
      <w:pPr>
        <w:shd w:val="clear" w:color="auto" w:fill="FFFFFF"/>
        <w:spacing w:before="100" w:beforeAutospacing="1" w:after="100" w:afterAutospacing="1" w:line="360" w:lineRule="auto"/>
        <w:jc w:val="both"/>
        <w:rPr>
          <w:rFonts w:ascii="Calibri" w:eastAsia="Times New Roman" w:hAnsi="Calibri" w:cs="Calibri"/>
          <w:color w:val="000000"/>
          <w:spacing w:val="-2"/>
          <w:kern w:val="0"/>
          <w:sz w:val="22"/>
          <w:szCs w:val="22"/>
          <w14:ligatures w14:val="none"/>
        </w:rPr>
      </w:pPr>
      <w:r w:rsidRPr="00D74D60">
        <w:rPr>
          <w:rFonts w:ascii="Calibri" w:eastAsia="Times New Roman" w:hAnsi="Calibri" w:cs="Calibri"/>
          <w:color w:val="000000"/>
          <w:spacing w:val="-2"/>
          <w:kern w:val="0"/>
          <w:sz w:val="22"/>
          <w:szCs w:val="22"/>
          <w14:ligatures w14:val="none"/>
        </w:rPr>
        <w:t>E-mail of the first contributor/author</w:t>
      </w:r>
      <w:r w:rsidRPr="00D74D60">
        <w:rPr>
          <w:rFonts w:ascii="Calibri" w:eastAsia="Times New Roman" w:hAnsi="Calibri" w:cs="Calibri"/>
          <w:color w:val="000000"/>
          <w:spacing w:val="-2"/>
          <w:kern w:val="0"/>
          <w:sz w:val="22"/>
          <w:szCs w:val="22"/>
          <w14:ligatures w14:val="none"/>
        </w:rPr>
        <w:t xml:space="preserve">: </w:t>
      </w:r>
      <w:hyperlink r:id="rId5" w:history="1">
        <w:r w:rsidRPr="00D74D60">
          <w:rPr>
            <w:rStyle w:val="Hyperlink"/>
            <w:rFonts w:ascii="Calibri" w:eastAsia="Times New Roman" w:hAnsi="Calibri" w:cs="Calibri"/>
            <w:spacing w:val="-2"/>
            <w:kern w:val="0"/>
            <w:sz w:val="22"/>
            <w:szCs w:val="22"/>
            <w14:ligatures w14:val="none"/>
          </w:rPr>
          <w:t>peiboono@sunway.edu.my</w:t>
        </w:r>
      </w:hyperlink>
      <w:r w:rsidRPr="00D74D60">
        <w:rPr>
          <w:rFonts w:ascii="Calibri" w:eastAsia="Times New Roman" w:hAnsi="Calibri" w:cs="Calibri"/>
          <w:color w:val="000000"/>
          <w:spacing w:val="-2"/>
          <w:kern w:val="0"/>
          <w:sz w:val="22"/>
          <w:szCs w:val="22"/>
          <w14:ligatures w14:val="none"/>
        </w:rPr>
        <w:t xml:space="preserve"> </w:t>
      </w:r>
    </w:p>
    <w:p w14:paraId="3317197B" w14:textId="4F4088FE" w:rsidR="00D74D60" w:rsidRPr="00D74D60" w:rsidRDefault="00D74D60" w:rsidP="00D74D60">
      <w:pPr>
        <w:shd w:val="clear" w:color="auto" w:fill="FFFFFF"/>
        <w:spacing w:before="100" w:beforeAutospacing="1" w:after="100" w:afterAutospacing="1" w:line="360" w:lineRule="auto"/>
        <w:jc w:val="both"/>
        <w:rPr>
          <w:rFonts w:ascii="Calibri" w:eastAsia="Times New Roman" w:hAnsi="Calibri" w:cs="Calibri"/>
          <w:color w:val="000000"/>
          <w:spacing w:val="-2"/>
          <w:kern w:val="0"/>
          <w:sz w:val="22"/>
          <w:szCs w:val="22"/>
          <w14:ligatures w14:val="none"/>
        </w:rPr>
      </w:pPr>
      <w:r w:rsidRPr="00D74D60">
        <w:rPr>
          <w:rFonts w:ascii="Calibri" w:eastAsia="Times New Roman" w:hAnsi="Calibri" w:cs="Calibri"/>
          <w:color w:val="000000"/>
          <w:spacing w:val="-2"/>
          <w:kern w:val="0"/>
          <w:sz w:val="22"/>
          <w:szCs w:val="22"/>
          <w14:ligatures w14:val="none"/>
        </w:rPr>
        <w:t>Institution to which the first contributor/author belongs</w:t>
      </w:r>
      <w:r w:rsidRPr="00D74D60">
        <w:rPr>
          <w:rFonts w:ascii="Calibri" w:eastAsia="Times New Roman" w:hAnsi="Calibri" w:cs="Calibri"/>
          <w:color w:val="000000"/>
          <w:spacing w:val="-2"/>
          <w:kern w:val="0"/>
          <w:sz w:val="22"/>
          <w:szCs w:val="22"/>
          <w14:ligatures w14:val="none"/>
        </w:rPr>
        <w:t xml:space="preserve">: Sunway University, Malaysia </w:t>
      </w:r>
    </w:p>
    <w:p w14:paraId="183949AB" w14:textId="32DFF597" w:rsidR="00D74D60" w:rsidRPr="00D74D60" w:rsidRDefault="00D74D60" w:rsidP="00D74D60">
      <w:pPr>
        <w:shd w:val="clear" w:color="auto" w:fill="FFFFFF"/>
        <w:spacing w:before="100" w:beforeAutospacing="1" w:after="100" w:afterAutospacing="1" w:line="360" w:lineRule="auto"/>
        <w:jc w:val="both"/>
        <w:rPr>
          <w:rFonts w:ascii="Calibri" w:eastAsia="Times New Roman" w:hAnsi="Calibri" w:cs="Calibri"/>
          <w:color w:val="000000"/>
          <w:spacing w:val="-2"/>
          <w:kern w:val="0"/>
          <w:sz w:val="22"/>
          <w:szCs w:val="22"/>
          <w14:ligatures w14:val="none"/>
        </w:rPr>
      </w:pPr>
      <w:r w:rsidRPr="00D74D60">
        <w:rPr>
          <w:rFonts w:ascii="Calibri" w:eastAsia="Times New Roman" w:hAnsi="Calibri" w:cs="Calibri"/>
          <w:color w:val="000000"/>
          <w:spacing w:val="-2"/>
          <w:kern w:val="0"/>
          <w:sz w:val="22"/>
          <w:szCs w:val="22"/>
          <w14:ligatures w14:val="none"/>
        </w:rPr>
        <w:t>Family name, first name, institution and title/position of presenters at the conference</w:t>
      </w:r>
      <w:r w:rsidRPr="00D74D60">
        <w:rPr>
          <w:rFonts w:ascii="Calibri" w:eastAsia="Times New Roman" w:hAnsi="Calibri" w:cs="Calibri"/>
          <w:color w:val="000000"/>
          <w:spacing w:val="-2"/>
          <w:kern w:val="0"/>
          <w:sz w:val="22"/>
          <w:szCs w:val="22"/>
          <w14:ligatures w14:val="none"/>
        </w:rPr>
        <w:t xml:space="preserve">: </w:t>
      </w:r>
      <w:r w:rsidRPr="00D74D60">
        <w:rPr>
          <w:rFonts w:ascii="Calibri" w:eastAsia="Times New Roman" w:hAnsi="Calibri" w:cs="Calibri"/>
          <w:color w:val="000000"/>
          <w:spacing w:val="-2"/>
          <w:kern w:val="0"/>
          <w:sz w:val="22"/>
          <w:szCs w:val="22"/>
          <w14:ligatures w14:val="none"/>
        </w:rPr>
        <w:t>Ooi Pei Boon</w:t>
      </w:r>
      <w:r w:rsidRPr="00D74D60">
        <w:rPr>
          <w:rFonts w:ascii="Calibri" w:eastAsia="Times New Roman" w:hAnsi="Calibri" w:cs="Calibri"/>
          <w:color w:val="000000"/>
          <w:spacing w:val="-2"/>
          <w:kern w:val="0"/>
          <w:sz w:val="22"/>
          <w:szCs w:val="22"/>
          <w14:ligatures w14:val="none"/>
        </w:rPr>
        <w:t xml:space="preserve">, </w:t>
      </w:r>
      <w:r w:rsidRPr="00D74D60">
        <w:rPr>
          <w:rFonts w:ascii="Calibri" w:eastAsia="Times New Roman" w:hAnsi="Calibri" w:cs="Calibri"/>
          <w:color w:val="000000"/>
          <w:spacing w:val="-2"/>
          <w:kern w:val="0"/>
          <w:sz w:val="22"/>
          <w:szCs w:val="22"/>
          <w14:ligatures w14:val="none"/>
        </w:rPr>
        <w:t>Sunway University, Malaysia</w:t>
      </w:r>
      <w:r w:rsidRPr="00D74D60">
        <w:rPr>
          <w:rFonts w:ascii="Calibri" w:eastAsia="Times New Roman" w:hAnsi="Calibri" w:cs="Calibri"/>
          <w:color w:val="000000"/>
          <w:spacing w:val="-2"/>
          <w:kern w:val="0"/>
          <w:sz w:val="22"/>
          <w:szCs w:val="22"/>
          <w14:ligatures w14:val="none"/>
        </w:rPr>
        <w:t xml:space="preserve">, </w:t>
      </w:r>
      <w:r w:rsidRPr="00D74D60">
        <w:rPr>
          <w:rFonts w:ascii="Calibri" w:eastAsia="Times New Roman" w:hAnsi="Calibri" w:cs="Calibri"/>
          <w:color w:val="000000"/>
          <w:spacing w:val="-2"/>
          <w:kern w:val="0"/>
          <w:sz w:val="22"/>
          <w:szCs w:val="22"/>
          <w14:ligatures w14:val="none"/>
        </w:rPr>
        <w:t>Associate Professor</w:t>
      </w:r>
    </w:p>
    <w:p w14:paraId="593DB09B" w14:textId="49EAB33A" w:rsidR="00D74D60" w:rsidRPr="00D74D60" w:rsidRDefault="00D74D60" w:rsidP="00D74D60">
      <w:pPr>
        <w:pStyle w:val="NormalWeb"/>
        <w:spacing w:line="360" w:lineRule="auto"/>
        <w:jc w:val="both"/>
        <w:rPr>
          <w:rFonts w:ascii="Calibri" w:hAnsi="Calibri" w:cs="Calibri"/>
          <w:sz w:val="22"/>
          <w:szCs w:val="22"/>
        </w:rPr>
      </w:pPr>
      <w:r w:rsidRPr="00D74D60">
        <w:rPr>
          <w:rFonts w:ascii="Calibri" w:hAnsi="Calibri" w:cs="Calibri"/>
          <w:b/>
          <w:bCs/>
          <w:sz w:val="22"/>
          <w:szCs w:val="22"/>
        </w:rPr>
        <w:t>Title</w:t>
      </w:r>
      <w:r w:rsidRPr="00D74D60">
        <w:rPr>
          <w:rFonts w:ascii="Calibri" w:hAnsi="Calibri" w:cs="Calibri"/>
          <w:sz w:val="22"/>
          <w:szCs w:val="22"/>
        </w:rPr>
        <w:t xml:space="preserve">: </w:t>
      </w:r>
      <w:r w:rsidRPr="00D74D60">
        <w:rPr>
          <w:rFonts w:ascii="Calibri" w:hAnsi="Calibri" w:cs="Calibri"/>
          <w:sz w:val="22"/>
          <w:szCs w:val="22"/>
        </w:rPr>
        <w:t>Integrating AI Governance into Ethical Codes for Counselling and Career Guidance</w:t>
      </w:r>
    </w:p>
    <w:p w14:paraId="1BD1AE86" w14:textId="77777777" w:rsidR="00D74D60" w:rsidRPr="00D74D60" w:rsidRDefault="00D74D60" w:rsidP="00D74D60">
      <w:pPr>
        <w:pStyle w:val="NormalWeb"/>
        <w:spacing w:line="360" w:lineRule="auto"/>
        <w:jc w:val="both"/>
        <w:rPr>
          <w:rFonts w:ascii="Calibri" w:hAnsi="Calibri" w:cs="Calibri"/>
          <w:sz w:val="22"/>
          <w:szCs w:val="22"/>
        </w:rPr>
      </w:pPr>
      <w:r w:rsidRPr="00D74D60">
        <w:rPr>
          <w:rStyle w:val="Strong"/>
          <w:rFonts w:ascii="Calibri" w:eastAsiaTheme="majorEastAsia" w:hAnsi="Calibri" w:cs="Calibri"/>
          <w:sz w:val="22"/>
          <w:szCs w:val="22"/>
        </w:rPr>
        <w:t>Theme:</w:t>
      </w:r>
      <w:r w:rsidRPr="00D74D60">
        <w:rPr>
          <w:rFonts w:ascii="Calibri" w:hAnsi="Calibri" w:cs="Calibri"/>
          <w:sz w:val="22"/>
          <w:szCs w:val="22"/>
        </w:rPr>
        <w:t xml:space="preserve"> Technology, innovation, and the future of career guidance and counselling</w:t>
      </w:r>
    </w:p>
    <w:p w14:paraId="066548B8"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Keywords</w:t>
      </w:r>
    </w:p>
    <w:p w14:paraId="76A3652D" w14:textId="77777777"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Artificial Intelligence; Counselling Ethics; AI Governance; Career Guidance; Generative AI</w:t>
      </w:r>
    </w:p>
    <w:p w14:paraId="3A83F7DF" w14:textId="1CFA9D5F"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Introduction</w:t>
      </w:r>
    </w:p>
    <w:p w14:paraId="73C8ECBE" w14:textId="17C01091"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Recent advances in generative artificial intelligence (AI), particularly large language model–based systems such as conversational chatbots, are beginning to influence multiple professional fields</w:t>
      </w:r>
      <w:r w:rsidRPr="00D74D60">
        <w:rPr>
          <w:rFonts w:ascii="Calibri" w:eastAsia="Times New Roman" w:hAnsi="Calibri" w:cs="Calibri"/>
          <w:kern w:val="0"/>
          <w:sz w:val="22"/>
          <w:szCs w:val="22"/>
          <w14:ligatures w14:val="none"/>
        </w:rPr>
        <w:t>,</w:t>
      </w:r>
      <w:r w:rsidRPr="00D74D60">
        <w:rPr>
          <w:rFonts w:ascii="Calibri" w:eastAsia="Times New Roman" w:hAnsi="Calibri" w:cs="Calibri"/>
          <w:kern w:val="0"/>
          <w:sz w:val="22"/>
          <w:szCs w:val="22"/>
          <w14:ligatures w14:val="none"/>
        </w:rPr>
        <w:t xml:space="preserve"> including education, healthcare, and counselling. AI-supported tools have the potential to enhance accessibility, scalability, and responsiveness of counselling and career guidance services. However, the rapid emergence of AI applications also raises significant ethical concerns related to data privacy, transparency, bias, accountability, and the preservation of the human therapeutic relationship. While professional counselling bodies have established ethical codes governing professional conduct, most existing frameworks were developed before the emergence of generative AI and do not yet explicitly address the governance of AI-enabled counselling services. This creates a growing need to examine how ethical codes in counselling and career guidance professions should evolve to ensure </w:t>
      </w:r>
      <w:r w:rsidRPr="00D74D60">
        <w:rPr>
          <w:rFonts w:ascii="Calibri" w:eastAsia="Times New Roman" w:hAnsi="Calibri" w:cs="Calibri"/>
          <w:kern w:val="0"/>
          <w:sz w:val="22"/>
          <w:szCs w:val="22"/>
          <w14:ligatures w14:val="none"/>
        </w:rPr>
        <w:t xml:space="preserve">the </w:t>
      </w:r>
      <w:r w:rsidRPr="00D74D60">
        <w:rPr>
          <w:rFonts w:ascii="Calibri" w:eastAsia="Times New Roman" w:hAnsi="Calibri" w:cs="Calibri"/>
          <w:kern w:val="0"/>
          <w:sz w:val="22"/>
          <w:szCs w:val="22"/>
          <w14:ligatures w14:val="none"/>
        </w:rPr>
        <w:t>responsible use of AI technologies.</w:t>
      </w:r>
    </w:p>
    <w:p w14:paraId="7E2F20D7"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Objectives</w:t>
      </w:r>
    </w:p>
    <w:p w14:paraId="710BE6FE" w14:textId="77777777"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 xml:space="preserve">This paper aims to examine how existing ethical codes in counselling can be enhanced through the integration of artificial intelligence governance principles. Specifically, the study seeks to (1) review the emerging role of AI technologies in counselling and related guidance services, (2) analyse the core </w:t>
      </w:r>
      <w:r w:rsidRPr="00D74D60">
        <w:rPr>
          <w:rFonts w:ascii="Calibri" w:eastAsia="Times New Roman" w:hAnsi="Calibri" w:cs="Calibri"/>
          <w:kern w:val="0"/>
          <w:sz w:val="22"/>
          <w:szCs w:val="22"/>
          <w14:ligatures w14:val="none"/>
        </w:rPr>
        <w:lastRenderedPageBreak/>
        <w:t>ethical principles within current counselling ethical codes, and (3) identify how AI governance frameworks can inform the updating of these ethical codes to address the ethical implications of generative AI.</w:t>
      </w:r>
    </w:p>
    <w:p w14:paraId="70A98718"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Theoretical Basis</w:t>
      </w:r>
    </w:p>
    <w:p w14:paraId="32B0A86B" w14:textId="77777777"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The analysis draws upon two key theoretical and policy frameworks. The first is the set of ethical principles that underpin counselling practice internationally, including autonomy, beneficence, non-maleficence, justice, fidelity, and veracity. These principles form the foundation of ethical codes adopted by counselling professional bodies in several countries. The second framework derives from emerging models of AI governance that seek to ensure responsible development and deployment of artificial intelligence. In particular, the Singapore Model AI Governance Framework provides a structured approach for responsible AI implementation through four key components: internal governance structures, determination of human involvement in AI-augmented decision making, operational management of AI systems, and stakeholder interaction and transparency.</w:t>
      </w:r>
    </w:p>
    <w:p w14:paraId="3E39DEB9"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Methodology</w:t>
      </w:r>
    </w:p>
    <w:p w14:paraId="4D222E7B" w14:textId="77777777"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This study adopts a conceptual and comparative analysis approach. Ethical codes from four counselling professional contexts—namely the United Kingdom, the United States, Australia, and Malaysia—were examined to identify their core ethical principles and structural components. These elements were then compared with the core principles of the Singapore Model AI Governance Framework. Through this mapping process, areas of convergence and potential integration between counselling ethics and AI governance principles were identified.</w:t>
      </w:r>
    </w:p>
    <w:p w14:paraId="335E0544"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t>Results</w:t>
      </w:r>
    </w:p>
    <w:p w14:paraId="38FCE0B7" w14:textId="77777777"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The analysis indicates that although existing counselling ethical codes provide strong guidance regarding professional responsibility, confidentiality, client welfare, and competence, they currently lack explicit provisions addressing the governance of AI technologies. Several key areas requiring enhancement were identified. These include the establishment of governance structures for AI-supported counselling services, clearer guidelines regarding the level of human oversight in AI-assisted decision making, operational standards for data management and algorithm transparency, and improved communication with clients regarding the use of AI technologies in counselling processes. Integrating AI governance principles into counselling ethical codes would help ensure responsible implementation while protecting client welfare.</w:t>
      </w:r>
    </w:p>
    <w:p w14:paraId="58458C3E" w14:textId="77777777" w:rsidR="00D74D60" w:rsidRPr="00D74D60" w:rsidRDefault="00D74D60" w:rsidP="00D74D60">
      <w:pPr>
        <w:spacing w:before="100" w:beforeAutospacing="1" w:after="100" w:afterAutospacing="1" w:line="360" w:lineRule="auto"/>
        <w:jc w:val="both"/>
        <w:outlineLvl w:val="1"/>
        <w:rPr>
          <w:rFonts w:ascii="Calibri" w:eastAsia="Times New Roman" w:hAnsi="Calibri" w:cs="Calibri"/>
          <w:b/>
          <w:bCs/>
          <w:kern w:val="0"/>
          <w:sz w:val="22"/>
          <w:szCs w:val="22"/>
          <w14:ligatures w14:val="none"/>
        </w:rPr>
      </w:pPr>
      <w:r w:rsidRPr="00D74D60">
        <w:rPr>
          <w:rFonts w:ascii="Calibri" w:eastAsia="Times New Roman" w:hAnsi="Calibri" w:cs="Calibri"/>
          <w:b/>
          <w:bCs/>
          <w:kern w:val="0"/>
          <w:sz w:val="22"/>
          <w:szCs w:val="22"/>
          <w14:ligatures w14:val="none"/>
        </w:rPr>
        <w:lastRenderedPageBreak/>
        <w:t>Conclusions</w:t>
      </w:r>
    </w:p>
    <w:p w14:paraId="7F221676" w14:textId="3E48487E" w:rsid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eastAsia="Times New Roman" w:hAnsi="Calibri" w:cs="Calibri"/>
          <w:kern w:val="0"/>
          <w:sz w:val="22"/>
          <w:szCs w:val="22"/>
          <w14:ligatures w14:val="none"/>
        </w:rPr>
        <w:t>As generative AI technologies continue to develop, their integration into counselling and guidance services appears increasingly likely. The profession therefore</w:t>
      </w:r>
      <w:r w:rsidRPr="00D74D60">
        <w:rPr>
          <w:rFonts w:ascii="Calibri" w:eastAsia="Times New Roman" w:hAnsi="Calibri" w:cs="Calibri"/>
          <w:kern w:val="0"/>
          <w:sz w:val="22"/>
          <w:szCs w:val="22"/>
          <w14:ligatures w14:val="none"/>
        </w:rPr>
        <w:t>,</w:t>
      </w:r>
      <w:r w:rsidRPr="00D74D60">
        <w:rPr>
          <w:rFonts w:ascii="Calibri" w:eastAsia="Times New Roman" w:hAnsi="Calibri" w:cs="Calibri"/>
          <w:kern w:val="0"/>
          <w:sz w:val="22"/>
          <w:szCs w:val="22"/>
          <w14:ligatures w14:val="none"/>
        </w:rPr>
        <w:t xml:space="preserve"> faces an urgent need to proactively update its ethical frameworks to address the ethical and governance challenges associated with AI-enabled practice. Incorporating principles from established AI governance frameworks into counselling ethical codes can provide a foundation for responsible innovation while safeguarding professional values and client trust. Such developments will be essential to ensure that emerging technologies support, rather than undermine, ethical counselling and guidance practice.</w:t>
      </w:r>
    </w:p>
    <w:p w14:paraId="628DACBE" w14:textId="77777777" w:rsid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p>
    <w:p w14:paraId="6AD96BD5" w14:textId="2262F0AC" w:rsid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References:</w:t>
      </w:r>
    </w:p>
    <w:p w14:paraId="4B3EFA2C" w14:textId="2EEF68C3" w:rsidR="00D74D60" w:rsidRPr="00D74D60" w:rsidRDefault="00D74D60" w:rsidP="00D74D60">
      <w:pPr>
        <w:spacing w:before="100" w:beforeAutospacing="1" w:after="100" w:afterAutospacing="1" w:line="360" w:lineRule="auto"/>
        <w:jc w:val="both"/>
        <w:rPr>
          <w:rFonts w:ascii="Calibri" w:hAnsi="Calibri" w:cs="Calibri"/>
          <w:sz w:val="22"/>
          <w:szCs w:val="22"/>
        </w:rPr>
      </w:pPr>
      <w:r w:rsidRPr="00D74D60">
        <w:rPr>
          <w:rFonts w:ascii="Calibri" w:hAnsi="Calibri" w:cs="Calibri"/>
          <w:sz w:val="22"/>
          <w:szCs w:val="22"/>
        </w:rPr>
        <w:t xml:space="preserve">Aguirre, A., Dempsey, G., Surden, H., &amp; Reiner, P. B. (2020). AI loyalty: A new paradigm for aligning stakeholder interests. IEEE Transactions on Technology and Society, 1(3), 128–137. </w:t>
      </w:r>
      <w:hyperlink r:id="rId6" w:history="1">
        <w:r w:rsidRPr="00D74D60">
          <w:rPr>
            <w:rStyle w:val="Hyperlink"/>
            <w:rFonts w:ascii="Calibri" w:hAnsi="Calibri" w:cs="Calibri"/>
            <w:sz w:val="22"/>
            <w:szCs w:val="22"/>
          </w:rPr>
          <w:t>https://doi.org/10.1109/TTS.2020.3013490</w:t>
        </w:r>
      </w:hyperlink>
    </w:p>
    <w:p w14:paraId="684D1E12" w14:textId="0A059C5B" w:rsidR="00D74D60" w:rsidRPr="00D74D60" w:rsidRDefault="00D74D60" w:rsidP="00D74D60">
      <w:pPr>
        <w:spacing w:before="100" w:beforeAutospacing="1" w:after="100" w:afterAutospacing="1" w:line="360" w:lineRule="auto"/>
        <w:jc w:val="both"/>
        <w:rPr>
          <w:rFonts w:ascii="Calibri" w:hAnsi="Calibri" w:cs="Calibri"/>
          <w:sz w:val="22"/>
          <w:szCs w:val="22"/>
        </w:rPr>
      </w:pPr>
      <w:r w:rsidRPr="00D74D60">
        <w:rPr>
          <w:rFonts w:ascii="Calibri" w:hAnsi="Calibri" w:cs="Calibri"/>
          <w:sz w:val="22"/>
          <w:szCs w:val="22"/>
        </w:rPr>
        <w:t xml:space="preserve">Luxton, D. D. (2014). Recommendations for the ethical use and design of artificial intelligent care providers. Artificial Intelligence in Medicine, 62(1), 1–10. </w:t>
      </w:r>
      <w:hyperlink r:id="rId7" w:history="1">
        <w:r w:rsidRPr="00D74D60">
          <w:rPr>
            <w:rStyle w:val="Hyperlink"/>
            <w:rFonts w:ascii="Calibri" w:hAnsi="Calibri" w:cs="Calibri"/>
            <w:sz w:val="22"/>
            <w:szCs w:val="22"/>
          </w:rPr>
          <w:t>https://doi.org/10.1016/j.artmed.2014.06.004</w:t>
        </w:r>
      </w:hyperlink>
    </w:p>
    <w:p w14:paraId="730FBB88" w14:textId="77777777" w:rsidR="00D74D60" w:rsidRPr="00D74D60" w:rsidRDefault="00D74D60" w:rsidP="00D74D60">
      <w:pPr>
        <w:pStyle w:val="NormalWeb"/>
        <w:rPr>
          <w:rFonts w:ascii="Calibri" w:hAnsi="Calibri" w:cs="Calibri"/>
          <w:sz w:val="22"/>
          <w:szCs w:val="22"/>
        </w:rPr>
      </w:pPr>
      <w:r w:rsidRPr="00D74D60">
        <w:rPr>
          <w:rFonts w:ascii="Calibri" w:hAnsi="Calibri" w:cs="Calibri"/>
          <w:sz w:val="22"/>
          <w:szCs w:val="22"/>
        </w:rPr>
        <w:t xml:space="preserve">Ooi, P. B., &amp; Wilkinson, G. (2024). Enhancing ethical codes with artificial intelligence governance – a growing necessity for the adoption of generative AI in counselling. </w:t>
      </w:r>
      <w:r w:rsidRPr="00D74D60">
        <w:rPr>
          <w:rStyle w:val="Emphasis"/>
          <w:rFonts w:ascii="Calibri" w:eastAsiaTheme="majorEastAsia" w:hAnsi="Calibri" w:cs="Calibri"/>
          <w:sz w:val="22"/>
          <w:szCs w:val="22"/>
        </w:rPr>
        <w:t>British Journal of Guidance &amp; Counselling</w:t>
      </w:r>
      <w:r w:rsidRPr="00D74D60">
        <w:rPr>
          <w:rFonts w:ascii="Calibri" w:hAnsi="Calibri" w:cs="Calibri"/>
          <w:sz w:val="22"/>
          <w:szCs w:val="22"/>
        </w:rPr>
        <w:t xml:space="preserve">. </w:t>
      </w:r>
      <w:hyperlink r:id="rId8" w:tgtFrame="_new" w:history="1">
        <w:r w:rsidRPr="00D74D60">
          <w:rPr>
            <w:rStyle w:val="Hyperlink"/>
            <w:rFonts w:ascii="Calibri" w:eastAsiaTheme="majorEastAsia" w:hAnsi="Calibri" w:cs="Calibri"/>
            <w:sz w:val="22"/>
            <w:szCs w:val="22"/>
          </w:rPr>
          <w:t>https://doi.org/10.1080/03069885.2024.2373180</w:t>
        </w:r>
      </w:hyperlink>
    </w:p>
    <w:p w14:paraId="5C0FB2DD" w14:textId="24DC64DB" w:rsidR="00D74D60" w:rsidRPr="00D74D60" w:rsidRDefault="00D74D60" w:rsidP="00D74D60">
      <w:pPr>
        <w:pStyle w:val="NormalWeb"/>
        <w:rPr>
          <w:rFonts w:ascii="Calibri" w:hAnsi="Calibri" w:cs="Calibri"/>
          <w:sz w:val="22"/>
          <w:szCs w:val="22"/>
        </w:rPr>
      </w:pPr>
      <w:r w:rsidRPr="00D74D60">
        <w:rPr>
          <w:rFonts w:ascii="Calibri" w:hAnsi="Calibri" w:cs="Calibri"/>
          <w:sz w:val="22"/>
          <w:szCs w:val="22"/>
        </w:rPr>
        <w:t>Peters, D., Vold, K., Robinson, D., &amp; Calvo, R. A. (2020). Responsible AI – Two frameworks for ethical design practice. IEEE Transactions on Technology and Society, 1(1), 34–47. https://doi.org/10.1109/TTS.2020.2974991</w:t>
      </w:r>
    </w:p>
    <w:p w14:paraId="6F4887C8" w14:textId="34A95870" w:rsidR="00D74D60" w:rsidRPr="00D74D60" w:rsidRDefault="00D74D60" w:rsidP="00D74D60">
      <w:pPr>
        <w:spacing w:before="100" w:beforeAutospacing="1" w:after="100" w:afterAutospacing="1" w:line="360" w:lineRule="auto"/>
        <w:jc w:val="both"/>
        <w:rPr>
          <w:rFonts w:ascii="Calibri" w:eastAsia="Times New Roman" w:hAnsi="Calibri" w:cs="Calibri"/>
          <w:kern w:val="0"/>
          <w:sz w:val="22"/>
          <w:szCs w:val="22"/>
          <w14:ligatures w14:val="none"/>
        </w:rPr>
      </w:pPr>
      <w:r w:rsidRPr="00D74D60">
        <w:rPr>
          <w:rFonts w:ascii="Calibri" w:hAnsi="Calibri" w:cs="Calibri"/>
          <w:sz w:val="22"/>
          <w:szCs w:val="22"/>
        </w:rPr>
        <w:t>PDPC. (2020). Model artificial intelligence governance framework: Second edition (Personal Data Protection Commission of Singapore). https://www.pdpc.gov.sg/-/media/files/pdpc/pdf-files/resource-for-organisation/ai/ sgmodelaigovframework2.pdf</w:t>
      </w:r>
    </w:p>
    <w:p w14:paraId="4FD54B3E" w14:textId="1ACCCA93" w:rsidR="00DA7A28" w:rsidRDefault="00DA7A28" w:rsidP="00D74D60">
      <w:pPr>
        <w:spacing w:line="360" w:lineRule="auto"/>
        <w:jc w:val="both"/>
        <w:rPr>
          <w:rFonts w:ascii="Calibri" w:hAnsi="Calibri" w:cs="Calibri"/>
          <w:sz w:val="22"/>
          <w:szCs w:val="22"/>
        </w:rPr>
      </w:pPr>
    </w:p>
    <w:p w14:paraId="13A99A57" w14:textId="77777777" w:rsidR="00D74D60" w:rsidRPr="00D74D60" w:rsidRDefault="00D74D60" w:rsidP="00D74D60">
      <w:pPr>
        <w:spacing w:line="360" w:lineRule="auto"/>
        <w:jc w:val="both"/>
        <w:rPr>
          <w:rFonts w:ascii="Calibri" w:hAnsi="Calibri" w:cs="Calibri"/>
          <w:sz w:val="22"/>
          <w:szCs w:val="22"/>
        </w:rPr>
      </w:pPr>
    </w:p>
    <w:sectPr w:rsidR="00D74D60" w:rsidRPr="00D74D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916402"/>
    <w:multiLevelType w:val="multilevel"/>
    <w:tmpl w:val="8098D04E"/>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27849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2AhJmpiYm5uamFko6SsGpxcWZ+XkgBYa1AIlCfBssAAAA"/>
  </w:docVars>
  <w:rsids>
    <w:rsidRoot w:val="00D74D60"/>
    <w:rsid w:val="002F17F6"/>
    <w:rsid w:val="003116B3"/>
    <w:rsid w:val="00B479A3"/>
    <w:rsid w:val="00D74D60"/>
    <w:rsid w:val="00DA7A28"/>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0B09C"/>
  <w15:chartTrackingRefBased/>
  <w15:docId w15:val="{07F77A19-C1E6-40E2-8089-D584D0B2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4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D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D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D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4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D60"/>
    <w:rPr>
      <w:rFonts w:eastAsiaTheme="majorEastAsia" w:cstheme="majorBidi"/>
      <w:color w:val="272727" w:themeColor="text1" w:themeTint="D8"/>
    </w:rPr>
  </w:style>
  <w:style w:type="paragraph" w:styleId="Title">
    <w:name w:val="Title"/>
    <w:basedOn w:val="Normal"/>
    <w:next w:val="Normal"/>
    <w:link w:val="TitleChar"/>
    <w:uiPriority w:val="10"/>
    <w:qFormat/>
    <w:rsid w:val="00D74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D60"/>
    <w:pPr>
      <w:spacing w:before="160"/>
      <w:jc w:val="center"/>
    </w:pPr>
    <w:rPr>
      <w:i/>
      <w:iCs/>
      <w:color w:val="404040" w:themeColor="text1" w:themeTint="BF"/>
    </w:rPr>
  </w:style>
  <w:style w:type="character" w:customStyle="1" w:styleId="QuoteChar">
    <w:name w:val="Quote Char"/>
    <w:basedOn w:val="DefaultParagraphFont"/>
    <w:link w:val="Quote"/>
    <w:uiPriority w:val="29"/>
    <w:rsid w:val="00D74D60"/>
    <w:rPr>
      <w:i/>
      <w:iCs/>
      <w:color w:val="404040" w:themeColor="text1" w:themeTint="BF"/>
    </w:rPr>
  </w:style>
  <w:style w:type="paragraph" w:styleId="ListParagraph">
    <w:name w:val="List Paragraph"/>
    <w:basedOn w:val="Normal"/>
    <w:uiPriority w:val="34"/>
    <w:qFormat/>
    <w:rsid w:val="00D74D60"/>
    <w:pPr>
      <w:ind w:left="720"/>
      <w:contextualSpacing/>
    </w:pPr>
  </w:style>
  <w:style w:type="character" w:styleId="IntenseEmphasis">
    <w:name w:val="Intense Emphasis"/>
    <w:basedOn w:val="DefaultParagraphFont"/>
    <w:uiPriority w:val="21"/>
    <w:qFormat/>
    <w:rsid w:val="00D74D60"/>
    <w:rPr>
      <w:i/>
      <w:iCs/>
      <w:color w:val="0F4761" w:themeColor="accent1" w:themeShade="BF"/>
    </w:rPr>
  </w:style>
  <w:style w:type="paragraph" w:styleId="IntenseQuote">
    <w:name w:val="Intense Quote"/>
    <w:basedOn w:val="Normal"/>
    <w:next w:val="Normal"/>
    <w:link w:val="IntenseQuoteChar"/>
    <w:uiPriority w:val="30"/>
    <w:qFormat/>
    <w:rsid w:val="00D74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D60"/>
    <w:rPr>
      <w:i/>
      <w:iCs/>
      <w:color w:val="0F4761" w:themeColor="accent1" w:themeShade="BF"/>
    </w:rPr>
  </w:style>
  <w:style w:type="character" w:styleId="IntenseReference">
    <w:name w:val="Intense Reference"/>
    <w:basedOn w:val="DefaultParagraphFont"/>
    <w:uiPriority w:val="32"/>
    <w:qFormat/>
    <w:rsid w:val="00D74D60"/>
    <w:rPr>
      <w:b/>
      <w:bCs/>
      <w:smallCaps/>
      <w:color w:val="0F4761" w:themeColor="accent1" w:themeShade="BF"/>
      <w:spacing w:val="5"/>
    </w:rPr>
  </w:style>
  <w:style w:type="paragraph" w:styleId="NormalWeb">
    <w:name w:val="Normal (Web)"/>
    <w:basedOn w:val="Normal"/>
    <w:uiPriority w:val="99"/>
    <w:semiHidden/>
    <w:unhideWhenUsed/>
    <w:rsid w:val="00D74D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74D60"/>
    <w:rPr>
      <w:b/>
      <w:bCs/>
    </w:rPr>
  </w:style>
  <w:style w:type="character" w:customStyle="1" w:styleId="relative">
    <w:name w:val="relative"/>
    <w:basedOn w:val="DefaultParagraphFont"/>
    <w:rsid w:val="00D74D60"/>
  </w:style>
  <w:style w:type="paragraph" w:customStyle="1" w:styleId="not-prose">
    <w:name w:val="not-prose"/>
    <w:basedOn w:val="Normal"/>
    <w:rsid w:val="00D74D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74D60"/>
    <w:rPr>
      <w:color w:val="467886" w:themeColor="hyperlink"/>
      <w:u w:val="single"/>
    </w:rPr>
  </w:style>
  <w:style w:type="character" w:styleId="UnresolvedMention">
    <w:name w:val="Unresolved Mention"/>
    <w:basedOn w:val="DefaultParagraphFont"/>
    <w:uiPriority w:val="99"/>
    <w:semiHidden/>
    <w:unhideWhenUsed/>
    <w:rsid w:val="00D74D60"/>
    <w:rPr>
      <w:color w:val="605E5C"/>
      <w:shd w:val="clear" w:color="auto" w:fill="E1DFDD"/>
    </w:rPr>
  </w:style>
  <w:style w:type="character" w:styleId="Emphasis">
    <w:name w:val="Emphasis"/>
    <w:basedOn w:val="DefaultParagraphFont"/>
    <w:uiPriority w:val="20"/>
    <w:qFormat/>
    <w:rsid w:val="00D74D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290286">
      <w:bodyDiv w:val="1"/>
      <w:marLeft w:val="0"/>
      <w:marRight w:val="0"/>
      <w:marTop w:val="0"/>
      <w:marBottom w:val="0"/>
      <w:divBdr>
        <w:top w:val="none" w:sz="0" w:space="0" w:color="auto"/>
        <w:left w:val="none" w:sz="0" w:space="0" w:color="auto"/>
        <w:bottom w:val="none" w:sz="0" w:space="0" w:color="auto"/>
        <w:right w:val="none" w:sz="0" w:space="0" w:color="auto"/>
      </w:divBdr>
    </w:div>
    <w:div w:id="1001658778">
      <w:bodyDiv w:val="1"/>
      <w:marLeft w:val="0"/>
      <w:marRight w:val="0"/>
      <w:marTop w:val="0"/>
      <w:marBottom w:val="0"/>
      <w:divBdr>
        <w:top w:val="none" w:sz="0" w:space="0" w:color="auto"/>
        <w:left w:val="none" w:sz="0" w:space="0" w:color="auto"/>
        <w:bottom w:val="none" w:sz="0" w:space="0" w:color="auto"/>
        <w:right w:val="none" w:sz="0" w:space="0" w:color="auto"/>
      </w:divBdr>
    </w:div>
    <w:div w:id="1249459696">
      <w:bodyDiv w:val="1"/>
      <w:marLeft w:val="0"/>
      <w:marRight w:val="0"/>
      <w:marTop w:val="0"/>
      <w:marBottom w:val="0"/>
      <w:divBdr>
        <w:top w:val="none" w:sz="0" w:space="0" w:color="auto"/>
        <w:left w:val="none" w:sz="0" w:space="0" w:color="auto"/>
        <w:bottom w:val="none" w:sz="0" w:space="0" w:color="auto"/>
        <w:right w:val="none" w:sz="0" w:space="0" w:color="auto"/>
      </w:divBdr>
    </w:div>
    <w:div w:id="1337151946">
      <w:bodyDiv w:val="1"/>
      <w:marLeft w:val="0"/>
      <w:marRight w:val="0"/>
      <w:marTop w:val="0"/>
      <w:marBottom w:val="0"/>
      <w:divBdr>
        <w:top w:val="none" w:sz="0" w:space="0" w:color="auto"/>
        <w:left w:val="none" w:sz="0" w:space="0" w:color="auto"/>
        <w:bottom w:val="none" w:sz="0" w:space="0" w:color="auto"/>
        <w:right w:val="none" w:sz="0" w:space="0" w:color="auto"/>
      </w:divBdr>
    </w:div>
    <w:div w:id="1403600902">
      <w:bodyDiv w:val="1"/>
      <w:marLeft w:val="0"/>
      <w:marRight w:val="0"/>
      <w:marTop w:val="0"/>
      <w:marBottom w:val="0"/>
      <w:divBdr>
        <w:top w:val="none" w:sz="0" w:space="0" w:color="auto"/>
        <w:left w:val="none" w:sz="0" w:space="0" w:color="auto"/>
        <w:bottom w:val="none" w:sz="0" w:space="0" w:color="auto"/>
        <w:right w:val="none" w:sz="0" w:space="0" w:color="auto"/>
      </w:divBdr>
    </w:div>
    <w:div w:id="1933388252">
      <w:bodyDiv w:val="1"/>
      <w:marLeft w:val="0"/>
      <w:marRight w:val="0"/>
      <w:marTop w:val="0"/>
      <w:marBottom w:val="0"/>
      <w:divBdr>
        <w:top w:val="none" w:sz="0" w:space="0" w:color="auto"/>
        <w:left w:val="none" w:sz="0" w:space="0" w:color="auto"/>
        <w:bottom w:val="none" w:sz="0" w:space="0" w:color="auto"/>
        <w:right w:val="none" w:sz="0" w:space="0" w:color="auto"/>
      </w:divBdr>
    </w:div>
    <w:div w:id="210580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3069885.2024.2373180" TargetMode="External"/><Relationship Id="rId3" Type="http://schemas.openxmlformats.org/officeDocument/2006/relationships/settings" Target="settings.xml"/><Relationship Id="rId7" Type="http://schemas.openxmlformats.org/officeDocument/2006/relationships/hyperlink" Target="https://doi.org/10.1016/j.artmed.2014.06.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9/TTS.2020.3013490" TargetMode="External"/><Relationship Id="rId5" Type="http://schemas.openxmlformats.org/officeDocument/2006/relationships/hyperlink" Target="mailto:peiboono@sunway.edu.m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991</Words>
  <Characters>5653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 Prof Dr Ooi Pei Boon</dc:creator>
  <cp:keywords/>
  <dc:description/>
  <cp:lastModifiedBy>Assoc Prof Dr Ooi Pei Boon</cp:lastModifiedBy>
  <cp:revision>1</cp:revision>
  <dcterms:created xsi:type="dcterms:W3CDTF">2026-03-07T02:29:00Z</dcterms:created>
  <dcterms:modified xsi:type="dcterms:W3CDTF">2026-03-07T02:42:00Z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e365561a-6e3c-4c4f-b2ee-9e60cb005004</vt:lpwstr>
  </property>
</Properties>
</file>