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9F46A" w14:textId="03DD65C0" w:rsidR="00D10C79" w:rsidRDefault="00AA7AEF" w:rsidP="00E81D30">
      <w:pPr>
        <w:pStyle w:val="Heading1"/>
      </w:pPr>
      <w:r>
        <w:t xml:space="preserve">Exploring green guidance: Using </w:t>
      </w:r>
      <w:r w:rsidR="00E81D30">
        <w:t>action research to develop a new paradigm for guidance</w:t>
      </w:r>
    </w:p>
    <w:p w14:paraId="2A8AC83D" w14:textId="73C06EF7" w:rsidR="00E22F3F" w:rsidRDefault="00E22F3F" w:rsidP="00E22F3F">
      <w:pPr>
        <w:pStyle w:val="Subtitle"/>
      </w:pPr>
      <w:r w:rsidRPr="00E22F3F">
        <w:t>Research - Hiwa-</w:t>
      </w:r>
      <w:proofErr w:type="spellStart"/>
      <w:r w:rsidRPr="00E22F3F">
        <w:t>i</w:t>
      </w:r>
      <w:proofErr w:type="spellEnd"/>
      <w:r w:rsidRPr="00E22F3F">
        <w:t>-</w:t>
      </w:r>
      <w:proofErr w:type="spellStart"/>
      <w:r w:rsidRPr="00E22F3F">
        <w:t>te-rangi</w:t>
      </w:r>
      <w:proofErr w:type="spellEnd"/>
    </w:p>
    <w:p w14:paraId="3AC87848" w14:textId="29C2C8DD" w:rsidR="00E22F3F" w:rsidRDefault="00E22F3F" w:rsidP="00E22F3F">
      <w:r>
        <w:t>Engli</w:t>
      </w:r>
      <w:r w:rsidR="00454248">
        <w:t>sh</w:t>
      </w:r>
    </w:p>
    <w:p w14:paraId="1AAAC5A4" w14:textId="4E8ECA34" w:rsidR="00454248" w:rsidRPr="00B6559E" w:rsidRDefault="00B6559E" w:rsidP="00E22F3F">
      <w:r w:rsidRPr="00B6559E">
        <w:t xml:space="preserve">Professor Tristram Hooley, </w:t>
      </w:r>
      <w:r w:rsidR="00380258" w:rsidRPr="00B6559E">
        <w:t xml:space="preserve">Dr Ingrid Bakke, </w:t>
      </w:r>
      <w:r>
        <w:t xml:space="preserve">&amp; </w:t>
      </w:r>
      <w:r w:rsidR="006A45B0" w:rsidRPr="00B6559E">
        <w:t>Dr Marian</w:t>
      </w:r>
      <w:r w:rsidR="00380258" w:rsidRPr="00B6559E">
        <w:t>a Luca</w:t>
      </w:r>
      <w:r w:rsidRPr="00B6559E">
        <w:t>s</w:t>
      </w:r>
      <w:r w:rsidR="00380258" w:rsidRPr="00B6559E">
        <w:t xml:space="preserve"> Casonova</w:t>
      </w:r>
    </w:p>
    <w:p w14:paraId="5B9A99DA" w14:textId="5CB2FDD8" w:rsidR="00D10C79" w:rsidRPr="00D10C79" w:rsidRDefault="00D10C79" w:rsidP="00454248">
      <w:pPr>
        <w:pStyle w:val="Heading2"/>
      </w:pPr>
      <w:r w:rsidRPr="00D10C79">
        <w:t xml:space="preserve">Abstract </w:t>
      </w:r>
      <w:r w:rsidR="00454248">
        <w:t>(</w:t>
      </w:r>
      <w:r w:rsidRPr="00D10C79">
        <w:t>maximum 600 words</w:t>
      </w:r>
      <w:r w:rsidR="00454248">
        <w:t>)</w:t>
      </w:r>
    </w:p>
    <w:p w14:paraId="639A492D" w14:textId="6BA1EF30" w:rsidR="00454248" w:rsidRDefault="00D3684E" w:rsidP="00454248">
      <w:r>
        <w:t xml:space="preserve">This paper examines the work of the Exploring Green Guidance project. It argues that the project managed to catalyse a wide range of European practitioners and researcher into </w:t>
      </w:r>
      <w:r w:rsidR="00151132">
        <w:t>the active development of the field of green guidance. The project adopted an action research approach which saw practitioner</w:t>
      </w:r>
      <w:r w:rsidR="00095CC6">
        <w:t xml:space="preserve">s being involved in multiple rounds of conceptual and practical development of green guidance. The </w:t>
      </w:r>
      <w:r w:rsidR="00B91FB9">
        <w:t xml:space="preserve">project delivered a range of new resources, based on a new model of guidance and a wealth of </w:t>
      </w:r>
      <w:proofErr w:type="gramStart"/>
      <w:r w:rsidR="00B91FB9">
        <w:t>practice based</w:t>
      </w:r>
      <w:proofErr w:type="gramEnd"/>
      <w:r w:rsidR="00B91FB9">
        <w:t xml:space="preserve"> experience. However, it also revealed a series of major </w:t>
      </w:r>
      <w:r w:rsidR="00A243E4">
        <w:t xml:space="preserve">dichotomies that sit at the heart of the concept of green guidance. It is suggested that the findings of the project have advanced the concept of green guidance substantially, but that they also demonstrate the work that still needs to be done. </w:t>
      </w:r>
    </w:p>
    <w:p w14:paraId="550D213A" w14:textId="490E23A7" w:rsidR="00D10C79" w:rsidRPr="00D10C79" w:rsidRDefault="00D10C79" w:rsidP="00454248">
      <w:r w:rsidRPr="00D10C79">
        <w:rPr>
          <w:b/>
          <w:bCs/>
        </w:rPr>
        <w:t xml:space="preserve">Keywords: </w:t>
      </w:r>
      <w:r w:rsidR="00222525">
        <w:t>environment, sustainability, green guidance</w:t>
      </w:r>
    </w:p>
    <w:p w14:paraId="2065A27F" w14:textId="77777777" w:rsidR="00222525" w:rsidRDefault="00222525" w:rsidP="00222525">
      <w:pPr>
        <w:pStyle w:val="Heading2"/>
      </w:pPr>
      <w:r>
        <w:t>I</w:t>
      </w:r>
      <w:r w:rsidR="00D10C79" w:rsidRPr="00D10C79">
        <w:t>ntroduction</w:t>
      </w:r>
    </w:p>
    <w:p w14:paraId="0E97AAF4" w14:textId="2905B3AB" w:rsidR="00E33219" w:rsidRDefault="00E33219" w:rsidP="00E33219">
      <w:r>
        <w:t xml:space="preserve">This paper sets out the findings of a </w:t>
      </w:r>
      <w:r w:rsidR="00D23D55">
        <w:t>three-year</w:t>
      </w:r>
      <w:r>
        <w:t xml:space="preserve"> </w:t>
      </w:r>
      <w:r w:rsidR="00D23D55">
        <w:t xml:space="preserve">mixed methods </w:t>
      </w:r>
      <w:r>
        <w:t xml:space="preserve">action research </w:t>
      </w:r>
      <w:r w:rsidR="00E70284">
        <w:t xml:space="preserve">and resource development </w:t>
      </w:r>
      <w:r>
        <w:t>pro</w:t>
      </w:r>
      <w:r w:rsidR="00E60F66">
        <w:t>ject</w:t>
      </w:r>
      <w:r>
        <w:t xml:space="preserve"> funded by the </w:t>
      </w:r>
      <w:r w:rsidR="00E70284">
        <w:t xml:space="preserve">Erasmus + programme of the European Union. </w:t>
      </w:r>
      <w:r w:rsidR="000F31C8">
        <w:t>The project sought to engage</w:t>
      </w:r>
      <w:r w:rsidR="000A700F">
        <w:t xml:space="preserve"> practitioners from across Europe in the </w:t>
      </w:r>
      <w:r w:rsidR="00D23D55">
        <w:t xml:space="preserve">conceptual </w:t>
      </w:r>
      <w:r w:rsidR="000A700F">
        <w:t xml:space="preserve">development of </w:t>
      </w:r>
      <w:r w:rsidR="00D23D55">
        <w:t>the field of green guidance</w:t>
      </w:r>
      <w:r w:rsidR="005950E3">
        <w:t xml:space="preserve"> and the creation of </w:t>
      </w:r>
      <w:r w:rsidR="00865684">
        <w:t xml:space="preserve">a handbook and set of tools that could be used in the </w:t>
      </w:r>
      <w:r w:rsidR="005C44BB">
        <w:t>implementation</w:t>
      </w:r>
      <w:r w:rsidR="00865684">
        <w:t xml:space="preserve"> of the approach. </w:t>
      </w:r>
    </w:p>
    <w:p w14:paraId="562FE723" w14:textId="67C1EC30" w:rsidR="00AB1C78" w:rsidRDefault="00AB1C78" w:rsidP="00E33219">
      <w:r w:rsidRPr="00AB1C78">
        <w:t xml:space="preserve">Climate change is a real, imminent, and challenging social, political and economic problem. This problem cannot be successfully addressed without action being taken in the labour market and the education system. As career guidance is bound up with the effective functioning of the labour market and the education system, the relationship between these two fields and individuals’ engagement with </w:t>
      </w:r>
      <w:proofErr w:type="gramStart"/>
      <w:r w:rsidRPr="00AB1C78">
        <w:t>both of them</w:t>
      </w:r>
      <w:proofErr w:type="gramEnd"/>
      <w:r w:rsidRPr="00AB1C78">
        <w:t xml:space="preserve">, substantial changes in these policy areas are likely to lead to the need for substantial changes in the field of career guidance. There is a developing agenda which has explored the nature of these changes, often under the label of ‘green guidance’. </w:t>
      </w:r>
    </w:p>
    <w:p w14:paraId="5D835B36" w14:textId="7424B4CE" w:rsidR="00865684" w:rsidRDefault="005234CA" w:rsidP="00E33219">
      <w:r w:rsidRPr="005234CA">
        <w:t xml:space="preserve">There has been debate about how careers professionals can best work with climate change since the 1990s, when writers in the career guidance field first voiced concern about climate change. Notably, in the 1990s, Plant (1996) reflected on the changes that </w:t>
      </w:r>
      <w:r w:rsidRPr="005234CA">
        <w:lastRenderedPageBreak/>
        <w:t xml:space="preserve">he saw coming with the new millennium, e.g. globalisation, acceleration of information technology development and environmental change, and saw that career guidance in the future would have to renew itself to stay relevant and important in the face of these problems. A major concern to Plant was the </w:t>
      </w:r>
      <w:r w:rsidR="006E2362">
        <w:t>tension</w:t>
      </w:r>
      <w:r w:rsidRPr="005234CA">
        <w:t xml:space="preserve"> between </w:t>
      </w:r>
      <w:r w:rsidR="006E2362">
        <w:t xml:space="preserve">addressing </w:t>
      </w:r>
      <w:r w:rsidRPr="005234CA">
        <w:t xml:space="preserve">climate change and </w:t>
      </w:r>
      <w:r w:rsidR="006E2362">
        <w:t xml:space="preserve">ensuring </w:t>
      </w:r>
      <w:r w:rsidRPr="005234CA">
        <w:t xml:space="preserve">decent work because the ability to change and adapt is often a matter of resources, i.e. those who have resources are better equipped to be flexible. However, </w:t>
      </w:r>
      <w:r w:rsidR="002F642B">
        <w:t xml:space="preserve">as </w:t>
      </w:r>
      <w:r w:rsidRPr="005234CA">
        <w:t>climate change</w:t>
      </w:r>
      <w:r w:rsidR="002F642B">
        <w:t xml:space="preserve"> i</w:t>
      </w:r>
      <w:r w:rsidRPr="005234CA">
        <w:t xml:space="preserve">s </w:t>
      </w:r>
      <w:r w:rsidR="002F642B">
        <w:t xml:space="preserve">taking place </w:t>
      </w:r>
      <w:r w:rsidR="00032FA6">
        <w:t xml:space="preserve">there is a need for </w:t>
      </w:r>
      <w:r w:rsidRPr="005234CA">
        <w:t>the world of work</w:t>
      </w:r>
      <w:r w:rsidR="00F241B4">
        <w:t xml:space="preserve"> and</w:t>
      </w:r>
      <w:r w:rsidRPr="005234CA">
        <w:t xml:space="preserve"> the whole of society </w:t>
      </w:r>
      <w:r w:rsidR="00F241B4">
        <w:t xml:space="preserve">to </w:t>
      </w:r>
      <w:r w:rsidRPr="005234CA">
        <w:t xml:space="preserve">change to adapt to it and hopefully mitigate it. </w:t>
      </w:r>
      <w:r w:rsidR="00032FA6">
        <w:t xml:space="preserve">Plant argued strongly that guidance had an important role to play in this process. </w:t>
      </w:r>
      <w:r w:rsidRPr="005234CA">
        <w:t>Plant is also seen as the writer who coined the term ‘green guidance’ (Buhl &amp; Plant, 2023a).</w:t>
      </w:r>
    </w:p>
    <w:p w14:paraId="5FC894EC" w14:textId="342891F5" w:rsidR="006209A4" w:rsidRPr="00E33219" w:rsidRDefault="00AA29A7" w:rsidP="00E33219">
      <w:r>
        <w:t xml:space="preserve">However, since Plant’s original proposition of the idea of green guidance, there has been limited progress both in terms of the scientific and </w:t>
      </w:r>
      <w:r w:rsidR="00A3313F">
        <w:t xml:space="preserve">practical exploration of the way in which </w:t>
      </w:r>
      <w:r w:rsidR="005331ED">
        <w:t>career guidance can meaningfully engage with the concepts of environmental sustainability and</w:t>
      </w:r>
      <w:r w:rsidR="00C07A43">
        <w:t xml:space="preserve"> the greening of the education system and labour market. </w:t>
      </w:r>
      <w:r w:rsidR="009A54B8">
        <w:t xml:space="preserve">This paper tells the story of how the Exploring Green Guidance project sought to change this </w:t>
      </w:r>
      <w:r w:rsidR="00920279">
        <w:t xml:space="preserve">and provide both a new conceptual framework for green guidance and concrete approaches through </w:t>
      </w:r>
      <w:r w:rsidR="00716909">
        <w:t xml:space="preserve">which this could be realised. </w:t>
      </w:r>
    </w:p>
    <w:p w14:paraId="10BD8896" w14:textId="77777777" w:rsidR="00222525" w:rsidRDefault="00222525" w:rsidP="00222525">
      <w:pPr>
        <w:pStyle w:val="Heading2"/>
      </w:pPr>
      <w:r>
        <w:t>O</w:t>
      </w:r>
      <w:r w:rsidR="00D10C79" w:rsidRPr="00D10C79">
        <w:t>bjectives</w:t>
      </w:r>
    </w:p>
    <w:p w14:paraId="6E66CE46" w14:textId="343642C4" w:rsidR="00716909" w:rsidRDefault="00716909" w:rsidP="00716909">
      <w:r>
        <w:t>This paper will:</w:t>
      </w:r>
    </w:p>
    <w:p w14:paraId="04D690B9" w14:textId="7B18D008" w:rsidR="00716909" w:rsidRDefault="00426E1B" w:rsidP="00716909">
      <w:pPr>
        <w:pStyle w:val="ListParagraph"/>
        <w:numPr>
          <w:ilvl w:val="0"/>
          <w:numId w:val="2"/>
        </w:numPr>
      </w:pPr>
      <w:r>
        <w:t>e</w:t>
      </w:r>
      <w:r w:rsidR="00716909">
        <w:t xml:space="preserve">xplain the way in which </w:t>
      </w:r>
      <w:r w:rsidR="007F4C3B">
        <w:t xml:space="preserve">the Exploring Green Guidance project engaged European </w:t>
      </w:r>
      <w:r w:rsidR="00497883">
        <w:t>practitioners</w:t>
      </w:r>
      <w:r w:rsidR="007F4C3B">
        <w:t xml:space="preserve"> in the development of the </w:t>
      </w:r>
      <w:r w:rsidR="00497883">
        <w:t xml:space="preserve">field of green </w:t>
      </w:r>
      <w:proofErr w:type="gramStart"/>
      <w:r w:rsidR="00497883">
        <w:t>guidance</w:t>
      </w:r>
      <w:r>
        <w:t>;</w:t>
      </w:r>
      <w:proofErr w:type="gramEnd"/>
    </w:p>
    <w:p w14:paraId="2936C29B" w14:textId="59FA7FEC" w:rsidR="00497883" w:rsidRDefault="00426E1B" w:rsidP="00716909">
      <w:pPr>
        <w:pStyle w:val="ListParagraph"/>
        <w:numPr>
          <w:ilvl w:val="0"/>
          <w:numId w:val="2"/>
        </w:numPr>
      </w:pPr>
      <w:r>
        <w:t>s</w:t>
      </w:r>
      <w:r w:rsidR="00F03251">
        <w:t xml:space="preserve">et out a new definition and conceptual framework for green </w:t>
      </w:r>
      <w:proofErr w:type="gramStart"/>
      <w:r w:rsidR="00F03251">
        <w:t>guidance</w:t>
      </w:r>
      <w:r>
        <w:t>;</w:t>
      </w:r>
      <w:proofErr w:type="gramEnd"/>
    </w:p>
    <w:p w14:paraId="3C318AEA" w14:textId="1BC948C0" w:rsidR="00F03251" w:rsidRDefault="00426E1B" w:rsidP="00716909">
      <w:pPr>
        <w:pStyle w:val="ListParagraph"/>
        <w:numPr>
          <w:ilvl w:val="0"/>
          <w:numId w:val="2"/>
        </w:numPr>
      </w:pPr>
      <w:r>
        <w:t>d</w:t>
      </w:r>
      <w:r w:rsidR="005302CB">
        <w:t>escribe the process of development of a green guidance handbook and toolkit</w:t>
      </w:r>
      <w:r>
        <w:t>; and</w:t>
      </w:r>
    </w:p>
    <w:p w14:paraId="6FC84966" w14:textId="1F693AE0" w:rsidR="005302CB" w:rsidRPr="00716909" w:rsidRDefault="00426E1B" w:rsidP="00716909">
      <w:pPr>
        <w:pStyle w:val="ListParagraph"/>
        <w:numPr>
          <w:ilvl w:val="0"/>
          <w:numId w:val="2"/>
        </w:numPr>
      </w:pPr>
      <w:r>
        <w:t>r</w:t>
      </w:r>
      <w:r w:rsidR="005302CB">
        <w:t xml:space="preserve">eflect on what has been learnt about the strengths and weaknesses of </w:t>
      </w:r>
      <w:r>
        <w:t xml:space="preserve">green from the process of engagement </w:t>
      </w:r>
      <w:r w:rsidR="00B72421">
        <w:t xml:space="preserve">with practitioners. </w:t>
      </w:r>
    </w:p>
    <w:p w14:paraId="53B9B0D8" w14:textId="77777777" w:rsidR="00222525" w:rsidRDefault="00222525" w:rsidP="00222525">
      <w:pPr>
        <w:pStyle w:val="Heading2"/>
      </w:pPr>
      <w:r>
        <w:t>T</w:t>
      </w:r>
      <w:r w:rsidR="00D10C79" w:rsidRPr="00D10C79">
        <w:t>heoretical basis</w:t>
      </w:r>
    </w:p>
    <w:p w14:paraId="5B0C7310" w14:textId="10DC6F1E" w:rsidR="00FA2C9D" w:rsidRDefault="00B72421" w:rsidP="00B72421">
      <w:r>
        <w:t xml:space="preserve">The research built on a robust literature review of </w:t>
      </w:r>
      <w:r w:rsidR="005F5568">
        <w:t>green guidance and associated subjects (</w:t>
      </w:r>
      <w:r w:rsidR="00FC590D">
        <w:t xml:space="preserve">Bakke et al., </w:t>
      </w:r>
      <w:r w:rsidR="009C7E4B">
        <w:t xml:space="preserve">2024). </w:t>
      </w:r>
      <w:r w:rsidR="003F3B1D" w:rsidRPr="003F3B1D">
        <w:t>This</w:t>
      </w:r>
      <w:r w:rsidR="003F3B1D">
        <w:t xml:space="preserve"> found that </w:t>
      </w:r>
      <w:r w:rsidR="003F3B1D" w:rsidRPr="003F3B1D">
        <w:t>the literature is clear that climate change is real and already happening and that it is already having impacts on people’s careers through the greening of the labour market and education system and through a range of psycho-social effects such as climate anxiety. This has led to the development of an emergent ‘green guidance’ movement which explores how career guidance can respond to and challenge climate change.</w:t>
      </w:r>
    </w:p>
    <w:p w14:paraId="78793B62" w14:textId="50CBE816" w:rsidR="00B72421" w:rsidRDefault="00737134" w:rsidP="00B72421">
      <w:r>
        <w:t xml:space="preserve">The project also engaged in substantial theoretical and conceptual discussion about what could serve as the basis for a renewed approach to green guidance. </w:t>
      </w:r>
      <w:r w:rsidR="00EF055F">
        <w:t xml:space="preserve">This resulted </w:t>
      </w:r>
      <w:r w:rsidR="00EF055F">
        <w:lastRenderedPageBreak/>
        <w:t xml:space="preserve">in the proposition of a new definition for </w:t>
      </w:r>
      <w:r w:rsidR="00145C02">
        <w:t xml:space="preserve">environmentally sustainable career guidance (Dimsits &amp; Hooley, forthcoming). </w:t>
      </w:r>
    </w:p>
    <w:p w14:paraId="407F6E29" w14:textId="77777777" w:rsidR="00095802" w:rsidRDefault="00095802" w:rsidP="00095802">
      <w:pPr>
        <w:pStyle w:val="Quote"/>
      </w:pPr>
      <w:r>
        <w:t xml:space="preserve">Environmentally sustainable career guidance empowers individuals, groups and collectives to develop their lives and careers in ways that do not compromise the ability of other people nor future generations to meet their needs. It recognises that human beings are a part of an environmental ecosystem, and that all lifeforms, particularly the life of the most vulnerable, are threatened by a growing climate crisis, the depletion of biodiversity and other environmental damage caused by human action. </w:t>
      </w:r>
    </w:p>
    <w:p w14:paraId="6F2B8CD6" w14:textId="73B1F5C8" w:rsidR="00CA118B" w:rsidRDefault="00095802" w:rsidP="00095802">
      <w:pPr>
        <w:pStyle w:val="Quote"/>
      </w:pPr>
      <w:r>
        <w:t>Environmentally sustainable career guidance helps to build individual and community capacity to analyse, respond to, and address social, environmental and career problems whilst supporting people to build a good life for themselves and others. Fundamentally it aims to stimulate people’s imagination and empower them to find their way to a better life and a sustainable world.</w:t>
      </w:r>
    </w:p>
    <w:p w14:paraId="6DF93E2C" w14:textId="69FA8601" w:rsidR="00EF055F" w:rsidRDefault="001C1171" w:rsidP="00EF055F">
      <w:r>
        <w:t xml:space="preserve">Building on this Dimsits and Hooley (Forthcoming) </w:t>
      </w:r>
      <w:r w:rsidR="00EF055F">
        <w:t>propose a framework for the practice of environmentally sustainable career guidance (ESCG)</w:t>
      </w:r>
      <w:r w:rsidR="00780594">
        <w:t xml:space="preserve"> based around </w:t>
      </w:r>
      <w:r w:rsidR="00EF055F">
        <w:t xml:space="preserve">five theoretical dimensions which encompass the key insights of the existing body of literature. These five dimensions are described as: the affective, social-ecological, educational, transformational, and political-ideological dimensions. Analysis of these theoretical dimensions is then used to underpin the proposition of a pedagogic framework which can guide career practitioners on professional development, aims for practice and design of career guidance activities. The pedagogic aims for ESCG are summarised in the framework: </w:t>
      </w:r>
      <w:r w:rsidR="00EF055F">
        <w:rPr>
          <w:i/>
        </w:rPr>
        <w:t>Connect career with the world</w:t>
      </w:r>
      <w:r w:rsidR="00EF055F">
        <w:t xml:space="preserve">, </w:t>
      </w:r>
      <w:proofErr w:type="gramStart"/>
      <w:r w:rsidR="00EF055F">
        <w:rPr>
          <w:i/>
        </w:rPr>
        <w:t>Build</w:t>
      </w:r>
      <w:proofErr w:type="gramEnd"/>
      <w:r w:rsidR="00EF055F">
        <w:rPr>
          <w:i/>
        </w:rPr>
        <w:t xml:space="preserve"> solidarity with the world through careering</w:t>
      </w:r>
      <w:r w:rsidR="00EF055F">
        <w:t xml:space="preserve">, </w:t>
      </w:r>
      <w:proofErr w:type="gramStart"/>
      <w:r w:rsidR="00EF055F">
        <w:rPr>
          <w:i/>
        </w:rPr>
        <w:t>Learn</w:t>
      </w:r>
      <w:proofErr w:type="gramEnd"/>
      <w:r w:rsidR="00EF055F">
        <w:rPr>
          <w:i/>
        </w:rPr>
        <w:t xml:space="preserve"> about careers in a sustainable world</w:t>
      </w:r>
      <w:r w:rsidR="00EF055F">
        <w:t xml:space="preserve">, </w:t>
      </w:r>
      <w:r w:rsidR="00EF055F">
        <w:rPr>
          <w:i/>
        </w:rPr>
        <w:t>Imagine and invent the world as you career</w:t>
      </w:r>
      <w:r w:rsidR="00EF055F">
        <w:t xml:space="preserve"> and </w:t>
      </w:r>
      <w:proofErr w:type="gramStart"/>
      <w:r w:rsidR="00EF055F">
        <w:rPr>
          <w:i/>
        </w:rPr>
        <w:t>Change</w:t>
      </w:r>
      <w:proofErr w:type="gramEnd"/>
      <w:r w:rsidR="00EF055F">
        <w:rPr>
          <w:i/>
        </w:rPr>
        <w:t xml:space="preserve"> the world through career.</w:t>
      </w:r>
      <w:r w:rsidR="00EF055F">
        <w:t xml:space="preserve"> </w:t>
      </w:r>
    </w:p>
    <w:p w14:paraId="07FE728F" w14:textId="17C47FAA" w:rsidR="005F5568" w:rsidRPr="00B72421" w:rsidRDefault="00F02E11" w:rsidP="00B72421">
      <w:r>
        <w:t xml:space="preserve">This framework then provided a theoretical and conceptual point </w:t>
      </w:r>
      <w:r w:rsidR="00521DAF">
        <w:t xml:space="preserve">of origin for the research. </w:t>
      </w:r>
    </w:p>
    <w:p w14:paraId="7D8989A1" w14:textId="77777777" w:rsidR="00222525" w:rsidRDefault="00222525" w:rsidP="00222525">
      <w:pPr>
        <w:pStyle w:val="Heading2"/>
      </w:pPr>
      <w:r>
        <w:t>M</w:t>
      </w:r>
      <w:r w:rsidR="00D10C79" w:rsidRPr="00D10C79">
        <w:t>ethodology</w:t>
      </w:r>
    </w:p>
    <w:p w14:paraId="1E73620F" w14:textId="6A8FC9A8" w:rsidR="00521DAF" w:rsidRDefault="00521DAF" w:rsidP="00521DAF">
      <w:r>
        <w:t xml:space="preserve">The Exploring Green Guidance project was a three-year </w:t>
      </w:r>
      <w:r w:rsidR="006A6155">
        <w:t xml:space="preserve">mixed-methods </w:t>
      </w:r>
      <w:r>
        <w:t>action research project</w:t>
      </w:r>
      <w:r w:rsidR="006A6155">
        <w:t xml:space="preserve"> which sought to engage a wide range of European practitioner</w:t>
      </w:r>
      <w:r w:rsidR="00CC6B6E">
        <w:t xml:space="preserve">s in the development of the theory and practice of </w:t>
      </w:r>
      <w:r w:rsidR="005D0BA1">
        <w:t>green guidance. The research team was made u</w:t>
      </w:r>
      <w:r w:rsidR="00A2659D">
        <w:t>p</w:t>
      </w:r>
      <w:r w:rsidR="005D0BA1">
        <w:t xml:space="preserve"> of a mixed group of researchers</w:t>
      </w:r>
      <w:r w:rsidR="00DE466F">
        <w:t xml:space="preserve">, resource developers </w:t>
      </w:r>
      <w:r w:rsidR="005D0BA1">
        <w:t>and practitioners (with many</w:t>
      </w:r>
      <w:r w:rsidR="00DE466F">
        <w:t xml:space="preserve"> people having hybrid identities across those roles) drawn from </w:t>
      </w:r>
      <w:r w:rsidR="00F43F9B">
        <w:t xml:space="preserve">Czechia, Denmark, Norway, Poland, Portugal and Slovakia. </w:t>
      </w:r>
      <w:r w:rsidR="008F23D3">
        <w:t>The project team met regularly to support</w:t>
      </w:r>
      <w:r w:rsidR="00AD420A">
        <w:t xml:space="preserve"> conceptual development, data collection, analysis and writing. </w:t>
      </w:r>
      <w:r w:rsidR="009812CC">
        <w:t>This meant that all outputs of the research, both scientific and practical, were co-authored by international</w:t>
      </w:r>
      <w:r w:rsidR="00B74838">
        <w:t xml:space="preserve"> and</w:t>
      </w:r>
      <w:r w:rsidR="009812CC">
        <w:t xml:space="preserve"> multidisciplinary </w:t>
      </w:r>
      <w:r w:rsidR="00B74838">
        <w:t xml:space="preserve">teams with experience of both research and practice. </w:t>
      </w:r>
    </w:p>
    <w:p w14:paraId="04405323" w14:textId="7C4A5398" w:rsidR="000F05E9" w:rsidRDefault="000F05E9" w:rsidP="00521DAF">
      <w:r>
        <w:lastRenderedPageBreak/>
        <w:t xml:space="preserve">The project began with a literature review which was focused on </w:t>
      </w:r>
      <w:r w:rsidR="004D23C0">
        <w:t xml:space="preserve">surfacing the existing evidence and practice on green guidance (Bakke et al., 2024), </w:t>
      </w:r>
      <w:r w:rsidR="00537E30">
        <w:t xml:space="preserve">this was supplemented with a policy review examining relevant environmental and </w:t>
      </w:r>
      <w:r w:rsidR="0089432C">
        <w:t xml:space="preserve">career guidance policies at the European level and </w:t>
      </w:r>
      <w:r w:rsidR="0097431F">
        <w:t xml:space="preserve">in Czechia, Norway, Poland, Portugal and </w:t>
      </w:r>
      <w:r w:rsidR="0097431F" w:rsidRPr="007F3E8B">
        <w:t>Slovakia (Hooley et al., 2024</w:t>
      </w:r>
      <w:r w:rsidR="006D32AE">
        <w:t>a</w:t>
      </w:r>
      <w:r w:rsidR="0097431F" w:rsidRPr="007F3E8B">
        <w:t>).</w:t>
      </w:r>
      <w:r w:rsidR="0097431F">
        <w:t xml:space="preserve"> </w:t>
      </w:r>
    </w:p>
    <w:p w14:paraId="3752D22C" w14:textId="741FE7EF" w:rsidR="002357AB" w:rsidRDefault="001C0DE2" w:rsidP="00521DAF">
      <w:r>
        <w:t xml:space="preserve">Building on the </w:t>
      </w:r>
      <w:r w:rsidR="006D32AE">
        <w:t>desk-based</w:t>
      </w:r>
      <w:r>
        <w:t xml:space="preserve"> research the project launched a survey of European guidance practitioners</w:t>
      </w:r>
      <w:r w:rsidR="006D32AE">
        <w:t xml:space="preserve"> (Hooley et al., 2024b)</w:t>
      </w:r>
      <w:r>
        <w:t>.</w:t>
      </w:r>
      <w:r w:rsidR="002357AB">
        <w:t xml:space="preserve"> This survey engaged </w:t>
      </w:r>
      <w:r w:rsidR="002357AB" w:rsidRPr="002357AB">
        <w:t>674 career guidance practitioners</w:t>
      </w:r>
      <w:r w:rsidR="002357AB">
        <w:t xml:space="preserve"> to explore their attitudes to, and ideas about green guidance. </w:t>
      </w:r>
      <w:r w:rsidR="00051831">
        <w:t xml:space="preserve">This was subsequently analysed in greater detail by Lucas Casonova and Hooley (2026) who </w:t>
      </w:r>
      <w:r w:rsidR="00613E1F">
        <w:t xml:space="preserve">demonstrated that the measures used ‘the </w:t>
      </w:r>
      <w:r w:rsidR="00613E1F" w:rsidRPr="00613E1F">
        <w:t>careers practitioners’ engagement with green guidance (GG)</w:t>
      </w:r>
      <w:r w:rsidR="00613E1F">
        <w:t>’ scale</w:t>
      </w:r>
      <w:r w:rsidR="00613E1F" w:rsidRPr="00613E1F">
        <w:t xml:space="preserve"> and the</w:t>
      </w:r>
      <w:r w:rsidR="00852962">
        <w:t xml:space="preserve"> ‘</w:t>
      </w:r>
      <w:r w:rsidR="00613E1F" w:rsidRPr="00613E1F">
        <w:t>perception of clients’ attitudes towards</w:t>
      </w:r>
      <w:r w:rsidR="00852962">
        <w:t xml:space="preserve"> green guidance’ scale were valid </w:t>
      </w:r>
      <w:r w:rsidR="00E02BB8">
        <w:t xml:space="preserve">instruments. </w:t>
      </w:r>
    </w:p>
    <w:p w14:paraId="53B70E8B" w14:textId="3E9A2B14" w:rsidR="00205957" w:rsidRDefault="00634067" w:rsidP="00205957">
      <w:r>
        <w:t xml:space="preserve">The desk-research and gathering of </w:t>
      </w:r>
      <w:proofErr w:type="gramStart"/>
      <w:r>
        <w:t>practitioners</w:t>
      </w:r>
      <w:proofErr w:type="gramEnd"/>
      <w:r>
        <w:t xml:space="preserve"> ideas and attitudes </w:t>
      </w:r>
      <w:r w:rsidR="00B85FC3">
        <w:t xml:space="preserve">created an initial framework within which green guidance could be developed. The </w:t>
      </w:r>
      <w:r w:rsidR="00B25D33">
        <w:t>approach that was taken to do this buil</w:t>
      </w:r>
      <w:r w:rsidR="00AB7868">
        <w:t>t</w:t>
      </w:r>
      <w:r w:rsidR="00B25D33">
        <w:t xml:space="preserve"> on the ‘research circle’ method </w:t>
      </w:r>
      <w:r w:rsidR="00A35CF7">
        <w:t xml:space="preserve">of action research proposed by </w:t>
      </w:r>
      <w:proofErr w:type="spellStart"/>
      <w:r w:rsidR="00A35CF7" w:rsidRPr="00A35CF7">
        <w:t>Harnste</w:t>
      </w:r>
      <w:r w:rsidR="00A35CF7">
        <w:t>n</w:t>
      </w:r>
      <w:proofErr w:type="spellEnd"/>
      <w:r w:rsidR="00A35CF7" w:rsidRPr="00A35CF7">
        <w:t xml:space="preserve"> (1994</w:t>
      </w:r>
      <w:r w:rsidR="00A35CF7">
        <w:t xml:space="preserve">). </w:t>
      </w:r>
      <w:r w:rsidR="00091170" w:rsidRPr="00091170">
        <w:t xml:space="preserve">Research circles are a specific form of action research which can be used </w:t>
      </w:r>
      <w:r w:rsidR="00AB7868" w:rsidRPr="00091170">
        <w:t>to</w:t>
      </w:r>
      <w:r w:rsidR="00F41156">
        <w:t xml:space="preserve"> </w:t>
      </w:r>
      <w:r w:rsidR="00091170" w:rsidRPr="00091170">
        <w:t>challenge what is as taken for granted, move people from normative assumptions to critical forms of curiosity and provide a space for reflection on action. We</w:t>
      </w:r>
      <w:r w:rsidR="00091170">
        <w:t xml:space="preserve"> </w:t>
      </w:r>
      <w:r w:rsidR="00091170" w:rsidRPr="00091170">
        <w:t>adapted</w:t>
      </w:r>
      <w:r w:rsidR="00091170">
        <w:t xml:space="preserve"> </w:t>
      </w:r>
      <w:r w:rsidR="00091170" w:rsidRPr="00091170">
        <w:t>the</w:t>
      </w:r>
      <w:r w:rsidR="00091170">
        <w:t xml:space="preserve"> </w:t>
      </w:r>
      <w:r w:rsidR="00F41156">
        <w:t>research circle idea to the needs of the project, relabelling them as ‘</w:t>
      </w:r>
      <w:r w:rsidR="00091170" w:rsidRPr="00091170">
        <w:t>innovation factor</w:t>
      </w:r>
      <w:r w:rsidR="00F41156">
        <w:t>ies’</w:t>
      </w:r>
      <w:r w:rsidR="00F62C2E">
        <w:t xml:space="preserve"> where the project team could co-produce ideas with practitioners (</w:t>
      </w:r>
      <w:r w:rsidR="00F62C2E" w:rsidRPr="00AB7868">
        <w:t>Kavková</w:t>
      </w:r>
      <w:r w:rsidR="00F62C2E">
        <w:t xml:space="preserve"> et al., 2025). </w:t>
      </w:r>
      <w:r w:rsidR="00091170" w:rsidRPr="00091170">
        <w:t>The model grew out of the exploration of practice</w:t>
      </w:r>
      <w:r w:rsidR="0054423B">
        <w:t xml:space="preserve"> and </w:t>
      </w:r>
      <w:r w:rsidR="00091170" w:rsidRPr="00091170">
        <w:t>theoretical inputs</w:t>
      </w:r>
      <w:r w:rsidR="0054423B">
        <w:t xml:space="preserve"> and provided a mechanism for opening dialogue with practitioners </w:t>
      </w:r>
      <w:r w:rsidR="00CD68C4">
        <w:t xml:space="preserve">in Czechia, Norway, Poland, Portugal and Slovakia. </w:t>
      </w:r>
      <w:r w:rsidR="00205957" w:rsidRPr="00205957">
        <w:t>At least three meetings were organised in each country, with the meetings designed to progressively develop new ideas and practices. The first meeting was devoted to clarifying understanding of the term ‘green guidance’, followed by mapping</w:t>
      </w:r>
      <w:r w:rsidR="00DD53E3">
        <w:t xml:space="preserve"> </w:t>
      </w:r>
      <w:r w:rsidR="00205957" w:rsidRPr="00205957">
        <w:t>existing practice and defining white spaces. In the second meeting the group generated ideas on how to fill the white spaces and then between meetings group members</w:t>
      </w:r>
      <w:r w:rsidR="00DD53E3">
        <w:t xml:space="preserve"> </w:t>
      </w:r>
      <w:r w:rsidR="00205957" w:rsidRPr="00205957">
        <w:t>piloted new</w:t>
      </w:r>
      <w:r w:rsidR="00DD53E3">
        <w:t xml:space="preserve"> </w:t>
      </w:r>
      <w:r w:rsidR="00205957" w:rsidRPr="00205957">
        <w:t>ideas. In the final meeting the team members</w:t>
      </w:r>
      <w:r w:rsidR="00DD53E3">
        <w:t xml:space="preserve"> </w:t>
      </w:r>
      <w:r w:rsidR="00205957" w:rsidRPr="00205957">
        <w:t>reflected on their experiences and formulated new proposals for green guidance action in practice</w:t>
      </w:r>
    </w:p>
    <w:p w14:paraId="230AF017" w14:textId="37B5A256" w:rsidR="004F61E0" w:rsidRPr="00D3684E" w:rsidRDefault="00DD53E3" w:rsidP="004F61E0">
      <w:r>
        <w:t xml:space="preserve">The work of the innovation factories was used to </w:t>
      </w:r>
      <w:r w:rsidR="0019645F">
        <w:t xml:space="preserve">develop a series of tools and a handbook which addressed the issues and concerns raised in the previous </w:t>
      </w:r>
      <w:r w:rsidR="006F0FC7">
        <w:t xml:space="preserve">phases of the research and </w:t>
      </w:r>
      <w:r w:rsidR="00CE4652">
        <w:t xml:space="preserve">refined the tools which had been co-produced through the innovation factories into forms that could be shared more widely. </w:t>
      </w:r>
      <w:r w:rsidR="004B4BF8">
        <w:t xml:space="preserve">A handbook was developed to </w:t>
      </w:r>
      <w:r w:rsidR="004F61E0">
        <w:t xml:space="preserve">introduce the green guidance approach and </w:t>
      </w:r>
      <w:proofErr w:type="gramStart"/>
      <w:r w:rsidR="004F61E0">
        <w:t>provide an introduction to</w:t>
      </w:r>
      <w:proofErr w:type="gramEnd"/>
      <w:r w:rsidR="004F61E0">
        <w:t xml:space="preserve"> the use of the tools (</w:t>
      </w:r>
      <w:r w:rsidR="004F61E0" w:rsidRPr="00260C22">
        <w:t>Lucas Casanova</w:t>
      </w:r>
      <w:r w:rsidR="004F61E0">
        <w:t xml:space="preserve"> et al., </w:t>
      </w:r>
      <w:r w:rsidR="004F61E0" w:rsidRPr="00260C22">
        <w:t xml:space="preserve">2025). </w:t>
      </w:r>
    </w:p>
    <w:p w14:paraId="234C0E5D" w14:textId="07242A8F" w:rsidR="006B7F47" w:rsidRDefault="00CE4652" w:rsidP="00521DAF">
      <w:r>
        <w:t>Finally</w:t>
      </w:r>
      <w:r w:rsidR="00020CD8">
        <w:t>,</w:t>
      </w:r>
      <w:r>
        <w:t xml:space="preserve"> </w:t>
      </w:r>
      <w:r w:rsidR="00F359E4">
        <w:t xml:space="preserve">the </w:t>
      </w:r>
      <w:r w:rsidR="002A2757">
        <w:t xml:space="preserve">project recruited around 60 practitioners </w:t>
      </w:r>
      <w:r w:rsidR="00630263" w:rsidRPr="00630263">
        <w:t>from several European countries</w:t>
      </w:r>
      <w:r w:rsidR="00630263">
        <w:t xml:space="preserve"> who</w:t>
      </w:r>
      <w:r w:rsidR="00630263" w:rsidRPr="00630263">
        <w:t xml:space="preserve"> were trained as Green Guidance Ambassadors and</w:t>
      </w:r>
      <w:r w:rsidR="00630263">
        <w:t xml:space="preserve"> supported</w:t>
      </w:r>
      <w:r w:rsidR="00630263" w:rsidRPr="00630263">
        <w:t xml:space="preserve"> </w:t>
      </w:r>
      <w:r w:rsidR="00630263">
        <w:t xml:space="preserve">to </w:t>
      </w:r>
      <w:r w:rsidR="00630263" w:rsidRPr="00630263">
        <w:t>experiment with a set of tools and approaches with their clients, reaching an estimated 300 people in individual and group guidance contexts</w:t>
      </w:r>
      <w:r w:rsidR="00020CD8">
        <w:t xml:space="preserve"> (</w:t>
      </w:r>
      <w:r w:rsidR="00020CD8" w:rsidRPr="00F22175">
        <w:t>Šprlák</w:t>
      </w:r>
      <w:r w:rsidR="00020CD8">
        <w:t xml:space="preserve"> et al., 2026)</w:t>
      </w:r>
      <w:r w:rsidR="00630263" w:rsidRPr="00630263">
        <w:t>.</w:t>
      </w:r>
      <w:r w:rsidR="001E503E">
        <w:t xml:space="preserve"> The </w:t>
      </w:r>
      <w:r w:rsidR="00A3797E">
        <w:t xml:space="preserve">pilot phase gathered </w:t>
      </w:r>
      <w:r w:rsidR="00A3797E" w:rsidRPr="00A3797E">
        <w:lastRenderedPageBreak/>
        <w:t>pre- and post-survey data</w:t>
      </w:r>
      <w:r w:rsidR="00A3797E">
        <w:t xml:space="preserve"> from the Ambassadors</w:t>
      </w:r>
      <w:r w:rsidR="00A3797E" w:rsidRPr="00A3797E">
        <w:t xml:space="preserve">, practitioner reflections, case studies, and focus groups to examine what changed in practice and what challenges emerged. </w:t>
      </w:r>
    </w:p>
    <w:p w14:paraId="1D66446F" w14:textId="77777777" w:rsidR="00222525" w:rsidRDefault="00222525" w:rsidP="00222525">
      <w:pPr>
        <w:pStyle w:val="Heading2"/>
      </w:pPr>
      <w:r>
        <w:t>R</w:t>
      </w:r>
      <w:r w:rsidR="00D10C79" w:rsidRPr="00D10C79">
        <w:t>esults</w:t>
      </w:r>
    </w:p>
    <w:p w14:paraId="59B31E62" w14:textId="7F87FED7" w:rsidR="00C13159" w:rsidRDefault="001F1D45" w:rsidP="00C13159">
      <w:r w:rsidRPr="001F1D45">
        <w:t>Th</w:t>
      </w:r>
      <w:r w:rsidR="00085046">
        <w:t xml:space="preserve">e policy analysis </w:t>
      </w:r>
      <w:r w:rsidR="000C032A">
        <w:t xml:space="preserve">found that there is a </w:t>
      </w:r>
      <w:r w:rsidRPr="001F1D45">
        <w:t>strong consensus exists around the need to address climate change, with many countries utilising the UN’s Sustainable Development Goals to do this</w:t>
      </w:r>
      <w:r w:rsidR="003C4423">
        <w:t xml:space="preserve"> (Hooley et al., 2024a)</w:t>
      </w:r>
      <w:r w:rsidRPr="001F1D45">
        <w:t xml:space="preserve">. Key arenas for action are labour market policy and education policy which creates an important context for green guidance. Currently, there is relatively little specific policy which addresses the role of career guidance in the green transition. Despite the policy busyness </w:t>
      </w:r>
      <w:r w:rsidR="000C032A">
        <w:t xml:space="preserve">identified </w:t>
      </w:r>
      <w:r w:rsidRPr="001F1D45">
        <w:t xml:space="preserve">it is also clear that current policy initiatives are insufficient to meet the primary policy aims of limiting the impacts of climate change and stopping environmental destruction. This policy failure also provides an important context for the development of green guidance. </w:t>
      </w:r>
    </w:p>
    <w:p w14:paraId="2414C3C5" w14:textId="11817590" w:rsidR="007915CD" w:rsidRDefault="001F1D45" w:rsidP="007915CD">
      <w:r w:rsidRPr="001F1D45">
        <w:t>Th</w:t>
      </w:r>
      <w:r w:rsidR="00D36D15">
        <w:t>e survey found</w:t>
      </w:r>
      <w:r w:rsidRPr="001F1D45">
        <w:t xml:space="preserve"> that the clients of career guidance need help with a range of sustainability issues and that a minority raise issues of environmental sustainability during career guidance interventions</w:t>
      </w:r>
      <w:r w:rsidR="003C4423">
        <w:t xml:space="preserve"> (Hooley et al., 2024)</w:t>
      </w:r>
      <w:r w:rsidRPr="001F1D45">
        <w:t xml:space="preserve">. Practitioners have a strong belief that the world is currently experiencing a climate crisis and that career guidance can be a small part of addressing this. However, most currently lack the theories, models and resources to deliver green guidance. </w:t>
      </w:r>
      <w:r w:rsidR="007915CD">
        <w:t>More detailed analysis undertaken by Lucas Cas</w:t>
      </w:r>
      <w:r w:rsidR="00C93392">
        <w:t>a</w:t>
      </w:r>
      <w:r w:rsidR="007915CD">
        <w:t xml:space="preserve">nova </w:t>
      </w:r>
      <w:r w:rsidR="00C93392">
        <w:t xml:space="preserve">and Hooley </w:t>
      </w:r>
      <w:r w:rsidR="00B8172A">
        <w:t xml:space="preserve">(2026) suggest that </w:t>
      </w:r>
      <w:r w:rsidR="007915CD">
        <w:t>practitioners’</w:t>
      </w:r>
      <w:r w:rsidR="00B8172A">
        <w:t xml:space="preserve"> </w:t>
      </w:r>
      <w:r w:rsidR="007915CD">
        <w:t>attitudes</w:t>
      </w:r>
      <w:r w:rsidR="00B8172A">
        <w:t xml:space="preserve"> </w:t>
      </w:r>
      <w:r w:rsidR="007915CD">
        <w:t>towards</w:t>
      </w:r>
      <w:r w:rsidR="00B8172A">
        <w:t xml:space="preserve"> </w:t>
      </w:r>
      <w:r w:rsidR="00E45CEA">
        <w:t xml:space="preserve">green guidance </w:t>
      </w:r>
      <w:r w:rsidR="007915CD">
        <w:t>are</w:t>
      </w:r>
      <w:r w:rsidR="00E45CEA">
        <w:t xml:space="preserve"> </w:t>
      </w:r>
      <w:r w:rsidR="007915CD">
        <w:t>influenced</w:t>
      </w:r>
      <w:r w:rsidR="00E45CEA">
        <w:t xml:space="preserve"> </w:t>
      </w:r>
      <w:r w:rsidR="007915CD">
        <w:t>by</w:t>
      </w:r>
      <w:r w:rsidR="00E45CEA">
        <w:t xml:space="preserve"> </w:t>
      </w:r>
      <w:r w:rsidR="007915CD">
        <w:t>their</w:t>
      </w:r>
      <w:r w:rsidR="00E45CEA">
        <w:t xml:space="preserve"> </w:t>
      </w:r>
      <w:r w:rsidR="007915CD">
        <w:t>attitudes</w:t>
      </w:r>
      <w:r w:rsidR="00E45CEA">
        <w:t xml:space="preserve"> </w:t>
      </w:r>
      <w:r w:rsidR="007915CD">
        <w:t>towards</w:t>
      </w:r>
      <w:r w:rsidR="00E45CEA">
        <w:t xml:space="preserve"> </w:t>
      </w:r>
      <w:r w:rsidR="007915CD">
        <w:t>climate</w:t>
      </w:r>
      <w:r w:rsidR="00E45CEA">
        <w:t xml:space="preserve"> </w:t>
      </w:r>
      <w:r w:rsidR="007915CD">
        <w:t xml:space="preserve">change, in which their perception of their clients’ attitudes towards </w:t>
      </w:r>
      <w:r w:rsidR="00E45CEA">
        <w:t>green guidance</w:t>
      </w:r>
      <w:r w:rsidR="007915CD">
        <w:t xml:space="preserve"> is a mediator. </w:t>
      </w:r>
    </w:p>
    <w:p w14:paraId="08DEF1C4" w14:textId="76183FB1" w:rsidR="00A673DC" w:rsidRDefault="001D5BEA" w:rsidP="00C13159">
      <w:r>
        <w:t xml:space="preserve">The innovation factories provided a space </w:t>
      </w:r>
      <w:r w:rsidR="00920CAD">
        <w:t xml:space="preserve">for the exploration and </w:t>
      </w:r>
      <w:r w:rsidR="00A673DC" w:rsidRPr="00A673DC">
        <w:t>co-creat</w:t>
      </w:r>
      <w:r w:rsidR="00920CAD">
        <w:t>ion of</w:t>
      </w:r>
      <w:r w:rsidR="00A673DC" w:rsidRPr="00A673DC">
        <w:t xml:space="preserve"> tools, strategies, and models for green guidance</w:t>
      </w:r>
      <w:r w:rsidR="0047486D">
        <w:t xml:space="preserve"> (</w:t>
      </w:r>
      <w:r w:rsidR="0047486D" w:rsidRPr="00AB7868">
        <w:t>Kavková</w:t>
      </w:r>
      <w:r w:rsidR="0047486D">
        <w:t xml:space="preserve"> et al., 2025)</w:t>
      </w:r>
      <w:r w:rsidR="00A673DC" w:rsidRPr="00A673DC">
        <w:t>. Participants emphasised the importance of empathy, client-</w:t>
      </w:r>
      <w:proofErr w:type="spellStart"/>
      <w:r w:rsidR="00A673DC" w:rsidRPr="00A673DC">
        <w:t>centered</w:t>
      </w:r>
      <w:proofErr w:type="spellEnd"/>
      <w:r w:rsidR="00A673DC" w:rsidRPr="00A673DC">
        <w:t xml:space="preserve"> approaches, and aligning green themes with clients’ realities, while also acknowledging systemic barriers such as lack of training, resources, and societal resistance. The initiative fostered a community of practice, produced over 40 tools, and emphasised the ethical imperative to prepare clients for careers in a changing climate and economy.</w:t>
      </w:r>
    </w:p>
    <w:p w14:paraId="4CE386E9" w14:textId="4955651B" w:rsidR="00DD096B" w:rsidRPr="00DD096B" w:rsidRDefault="0047486D" w:rsidP="00DD096B">
      <w:r>
        <w:t xml:space="preserve">The authoring of the handbook and tools </w:t>
      </w:r>
      <w:r w:rsidR="007942A0">
        <w:t xml:space="preserve">drew on the preceding work to establish </w:t>
      </w:r>
      <w:r w:rsidR="00DD096B">
        <w:t>an argument for green guidance and a method through which it can be implemented</w:t>
      </w:r>
      <w:r w:rsidR="00A72A3F">
        <w:t xml:space="preserve"> (Lucas Casanova et al., 2025)</w:t>
      </w:r>
      <w:r w:rsidR="00DD096B">
        <w:t xml:space="preserve">. </w:t>
      </w:r>
      <w:r w:rsidR="00DD096B" w:rsidRPr="00DD096B">
        <w:t xml:space="preserve">It starts by presenting an argument for the need for green guidance in the contemporary world, moving to what green guidance is and how it can be done, offering a reflection on different approaches and ways of doing it, so that practitioners may find the one they feel most comfortable with. It also considers ways for the careers practitioner to adapt to clients’ and students’ positions and attitudes to environmental issues and offers a reflection and guidelines for an ethical green guidance. After setting the scene for green guidance, the handbook then focuses on </w:t>
      </w:r>
      <w:r w:rsidR="00DD096B" w:rsidRPr="00DD096B">
        <w:lastRenderedPageBreak/>
        <w:t xml:space="preserve">practical ways of doing green guidance with individuals and groups, and through more systemic forms of action like brokerage, advocacy, lobbying and system change. </w:t>
      </w:r>
    </w:p>
    <w:p w14:paraId="35A6FD78" w14:textId="20F37F2C" w:rsidR="00A673DC" w:rsidRPr="00A673DC" w:rsidRDefault="004743BC" w:rsidP="00A673DC">
      <w:r>
        <w:t xml:space="preserve">Finally, the analysis of the </w:t>
      </w:r>
      <w:r w:rsidR="00A673DC" w:rsidRPr="00A673DC">
        <w:t>pilot phase of the Exploring Green Guidance project, which tested how the concept of green guidance can be implemented in everyday career counselling, education, information and guidance practice</w:t>
      </w:r>
      <w:r w:rsidR="00AA3508">
        <w:t xml:space="preserve"> (</w:t>
      </w:r>
      <w:r w:rsidR="00AA3508" w:rsidRPr="00F22175">
        <w:t>Šprlák</w:t>
      </w:r>
      <w:r w:rsidR="00AA3508">
        <w:t xml:space="preserve"> et al., 2026)</w:t>
      </w:r>
      <w:r w:rsidR="00A673DC" w:rsidRPr="00A673DC">
        <w:t xml:space="preserve">. </w:t>
      </w:r>
      <w:r w:rsidR="009B39A7">
        <w:t>It finds strong evidence of engagement with the concept of green guidance that had been developed through the study, and evidence that pr</w:t>
      </w:r>
      <w:r w:rsidR="00A673DC" w:rsidRPr="00A673DC">
        <w:t xml:space="preserve">actitioners </w:t>
      </w:r>
      <w:r w:rsidR="009B39A7">
        <w:t xml:space="preserve">had been able to </w:t>
      </w:r>
      <w:r w:rsidR="00A673DC" w:rsidRPr="00A673DC">
        <w:t>integrat</w:t>
      </w:r>
      <w:r w:rsidR="009B39A7">
        <w:t>e</w:t>
      </w:r>
      <w:r w:rsidR="00A673DC" w:rsidRPr="00A673DC">
        <w:t xml:space="preserve"> tools that helped clients explore their values, reconnect work with environmental and social concerns, </w:t>
      </w:r>
      <w:r w:rsidR="00DC59CD">
        <w:t xml:space="preserve">and </w:t>
      </w:r>
      <w:r w:rsidR="00A673DC" w:rsidRPr="00A673DC">
        <w:t>understand concrete opportunities linked to the green transition. In many cases, these conversations shifted the focus of guidance from short-term job placement toward broader questions of meaning, contribution, and the societal role of work. The pilot also shows how a durable integration of sustainability into practice relates with individual commitment of practitioners and a shift in how they perceive their role, rather than on a specific set of tools.</w:t>
      </w:r>
    </w:p>
    <w:p w14:paraId="3B695D05" w14:textId="2A015C36" w:rsidR="00A673DC" w:rsidRPr="00C13159" w:rsidRDefault="00A673DC" w:rsidP="00C13159">
      <w:r w:rsidRPr="00A673DC">
        <w:t>At the same time, the pilot revealed structural barriers: limited labour-market information on sustainable careers, institutional constraints on guidance practice, further training and peer exchange. The findings suggest that green guidance is both feasible and relevant for contemporary career practice, but its wider adoption will require continued professional development, localised resources for practitioners, and stronger links between guidance systems and sustainability policies.</w:t>
      </w:r>
    </w:p>
    <w:p w14:paraId="342D6BA3" w14:textId="77777777" w:rsidR="00222525" w:rsidRDefault="00222525" w:rsidP="00222525">
      <w:pPr>
        <w:pStyle w:val="Heading2"/>
      </w:pPr>
      <w:r>
        <w:t>C</w:t>
      </w:r>
      <w:r w:rsidR="00D10C79" w:rsidRPr="00D10C79">
        <w:t xml:space="preserve">onclusions </w:t>
      </w:r>
    </w:p>
    <w:p w14:paraId="0F62A361" w14:textId="77777777" w:rsidR="00847D5E" w:rsidRDefault="00DC59CD" w:rsidP="00DC59CD">
      <w:r>
        <w:t xml:space="preserve">The </w:t>
      </w:r>
      <w:r w:rsidR="00C95127">
        <w:t>evidence gathered by the Exploring Green Guidance project provides a robust proof of concept of the idea of green guidance. It is not just a theoretical idea</w:t>
      </w:r>
      <w:r w:rsidR="00A06941">
        <w:t>, nor merely a policy concern, but rather something that can be meaningfully integrated into practice. However</w:t>
      </w:r>
      <w:r w:rsidR="0042490D">
        <w:t xml:space="preserve">, the project also surfaces </w:t>
      </w:r>
      <w:proofErr w:type="gramStart"/>
      <w:r w:rsidR="0042490D">
        <w:t>a number of</w:t>
      </w:r>
      <w:proofErr w:type="gramEnd"/>
      <w:r w:rsidR="0042490D">
        <w:t xml:space="preserve"> key areas of concern that green guidance will need to wrestle with as it moves forwards</w:t>
      </w:r>
      <w:r w:rsidR="00FD74BC">
        <w:t xml:space="preserve">. </w:t>
      </w:r>
      <w:r w:rsidR="00847D5E">
        <w:t>In the handbook Lucas Casanova et al. (2025) note</w:t>
      </w:r>
    </w:p>
    <w:p w14:paraId="179BD851" w14:textId="4265F161" w:rsidR="00847D5E" w:rsidRPr="00847D5E" w:rsidRDefault="00847D5E" w:rsidP="00847D5E">
      <w:pPr>
        <w:pStyle w:val="Quote"/>
      </w:pPr>
      <w:r w:rsidRPr="00847D5E">
        <w:t>Green guidance is not a one-size-fits-all approach. It is a dynamic and pluralistic space where different narratives about success, prosperity, and the future coexist and often clash. As the labour market transforms rapidly due to technological advances, economic shifts, and accelerating environmental crises, careers practitioners are called to move beyond conventional models and explore alternative visions of work, the economy, and social participation</w:t>
      </w:r>
      <w:r w:rsidR="00C77A71">
        <w:t xml:space="preserve"> (p.21)</w:t>
      </w:r>
    </w:p>
    <w:p w14:paraId="2C1A61B8" w14:textId="6BE92476" w:rsidR="0065153C" w:rsidRDefault="00B0208A" w:rsidP="00E47D8B">
      <w:r>
        <w:t xml:space="preserve">This pluralism is a critical element of </w:t>
      </w:r>
      <w:r w:rsidR="00C24FB4">
        <w:t xml:space="preserve">how the emergent field of green guidance can wrestle with the complexity of </w:t>
      </w:r>
      <w:r w:rsidR="00805CA8">
        <w:t>the contemporary world and the threat of climate change and wider</w:t>
      </w:r>
      <w:r w:rsidR="0065153C">
        <w:t xml:space="preserve"> environmental crisis. We might summarise these tensions as follows. </w:t>
      </w:r>
    </w:p>
    <w:p w14:paraId="731E049F" w14:textId="22ECFDFE" w:rsidR="006F4EE8" w:rsidRDefault="006F4EE8" w:rsidP="00E47D8B">
      <w:pPr>
        <w:pStyle w:val="ListParagraph"/>
        <w:numPr>
          <w:ilvl w:val="0"/>
          <w:numId w:val="4"/>
        </w:numPr>
      </w:pPr>
      <w:r w:rsidRPr="006F4EE8">
        <w:rPr>
          <w:b/>
          <w:bCs/>
        </w:rPr>
        <w:lastRenderedPageBreak/>
        <w:t>Time</w:t>
      </w:r>
      <w:r>
        <w:t xml:space="preserve">. Is green guidance </w:t>
      </w:r>
      <w:r w:rsidR="004B49CD">
        <w:t>a deep intervention that can only be delivered with sufficient</w:t>
      </w:r>
      <w:r w:rsidR="00664046">
        <w:t xml:space="preserve"> time and space, or can all guidance activities, even the shortest and most transactional, be greened?</w:t>
      </w:r>
    </w:p>
    <w:p w14:paraId="45703699" w14:textId="106205AE" w:rsidR="00620353" w:rsidRDefault="00620353" w:rsidP="00E47D8B">
      <w:pPr>
        <w:pStyle w:val="ListParagraph"/>
        <w:numPr>
          <w:ilvl w:val="0"/>
          <w:numId w:val="4"/>
        </w:numPr>
      </w:pPr>
      <w:r>
        <w:rPr>
          <w:b/>
          <w:bCs/>
        </w:rPr>
        <w:t>Integration</w:t>
      </w:r>
      <w:r w:rsidRPr="00620353">
        <w:t>.</w:t>
      </w:r>
      <w:r>
        <w:t xml:space="preserve"> Is green guidance a specialism that can be </w:t>
      </w:r>
      <w:r w:rsidR="00345F87">
        <w:t xml:space="preserve">developed by a few practitioners or is it something that needs to be integrated into the heart of the professional field. </w:t>
      </w:r>
    </w:p>
    <w:p w14:paraId="521C97B9" w14:textId="780444E9" w:rsidR="00BA0B4C" w:rsidRDefault="00BA0B4C" w:rsidP="00E47D8B">
      <w:pPr>
        <w:pStyle w:val="ListParagraph"/>
        <w:numPr>
          <w:ilvl w:val="0"/>
          <w:numId w:val="4"/>
        </w:numPr>
      </w:pPr>
      <w:r>
        <w:rPr>
          <w:b/>
          <w:bCs/>
        </w:rPr>
        <w:t>Ethics</w:t>
      </w:r>
      <w:r w:rsidRPr="00BA0B4C">
        <w:t>.</w:t>
      </w:r>
      <w:r>
        <w:t xml:space="preserve"> How can </w:t>
      </w:r>
      <w:r w:rsidR="004E0514">
        <w:t xml:space="preserve">practitioners manage both the ethical traditions of the field (client-centredness and impartiality) with the ethical imperatives </w:t>
      </w:r>
      <w:r w:rsidR="000E26B5">
        <w:t>driven by the climate crisis?</w:t>
      </w:r>
    </w:p>
    <w:p w14:paraId="35D61CE5" w14:textId="4E64C1A1" w:rsidR="000E26B5" w:rsidRDefault="000E26B5" w:rsidP="00E47D8B">
      <w:pPr>
        <w:pStyle w:val="ListParagraph"/>
        <w:numPr>
          <w:ilvl w:val="0"/>
          <w:numId w:val="4"/>
        </w:numPr>
      </w:pPr>
      <w:r>
        <w:rPr>
          <w:b/>
          <w:bCs/>
        </w:rPr>
        <w:t>Clients</w:t>
      </w:r>
      <w:r w:rsidRPr="000E26B5">
        <w:t>.</w:t>
      </w:r>
      <w:r>
        <w:t xml:space="preserve"> Ho</w:t>
      </w:r>
      <w:r w:rsidR="00B836FA">
        <w:t xml:space="preserve">w far should practitioners be led by client interests, awareness and attitudes about the climate, and how can the diversity of clients best be accommodated. </w:t>
      </w:r>
    </w:p>
    <w:p w14:paraId="3542BB60" w14:textId="6E34EBCA" w:rsidR="00CC48D4" w:rsidRDefault="00CC48D4" w:rsidP="00E47D8B">
      <w:pPr>
        <w:pStyle w:val="ListParagraph"/>
        <w:numPr>
          <w:ilvl w:val="0"/>
          <w:numId w:val="4"/>
        </w:numPr>
      </w:pPr>
      <w:r>
        <w:rPr>
          <w:b/>
          <w:bCs/>
        </w:rPr>
        <w:t>Institutions</w:t>
      </w:r>
      <w:r w:rsidRPr="00CC48D4">
        <w:t>.</w:t>
      </w:r>
      <w:r>
        <w:t xml:space="preserve"> Is green guidance an approach that practitioners can adopt, or does it require higher level institutional and systemic </w:t>
      </w:r>
      <w:r w:rsidR="00BA0B4C">
        <w:t>buy-in to make it meaningful?</w:t>
      </w:r>
    </w:p>
    <w:p w14:paraId="24424D86" w14:textId="4F24B037" w:rsidR="00547A9B" w:rsidRPr="006F4EE8" w:rsidRDefault="00547A9B" w:rsidP="00E47D8B">
      <w:pPr>
        <w:pStyle w:val="ListParagraph"/>
        <w:numPr>
          <w:ilvl w:val="0"/>
          <w:numId w:val="4"/>
        </w:numPr>
      </w:pPr>
      <w:r>
        <w:rPr>
          <w:b/>
          <w:bCs/>
        </w:rPr>
        <w:t>Responsibility</w:t>
      </w:r>
      <w:r w:rsidRPr="00547A9B">
        <w:t>.</w:t>
      </w:r>
      <w:r>
        <w:t xml:space="preserve"> How can green guidance practitioners </w:t>
      </w:r>
      <w:r w:rsidR="00557123">
        <w:t xml:space="preserve">exercise meaningful professional agency in service of a desire to ‘make a difference’, whilst also avoiding </w:t>
      </w:r>
      <w:proofErr w:type="spellStart"/>
      <w:r w:rsidR="00557123">
        <w:t>responsibilising</w:t>
      </w:r>
      <w:proofErr w:type="spellEnd"/>
      <w:r w:rsidR="00557123">
        <w:t xml:space="preserve"> themselves and their clients. </w:t>
      </w:r>
    </w:p>
    <w:p w14:paraId="38CD7B7E" w14:textId="78D8C88B" w:rsidR="00E47D8B" w:rsidRDefault="006F4EE8" w:rsidP="00E47D8B">
      <w:pPr>
        <w:pStyle w:val="ListParagraph"/>
        <w:numPr>
          <w:ilvl w:val="0"/>
          <w:numId w:val="4"/>
        </w:numPr>
      </w:pPr>
      <w:r w:rsidRPr="006F4EE8">
        <w:rPr>
          <w:b/>
          <w:bCs/>
        </w:rPr>
        <w:t xml:space="preserve">Paradigm. </w:t>
      </w:r>
      <w:r w:rsidR="00E47D8B">
        <w:t xml:space="preserve">Can green guidance be integrated into the contemporary social and economic order, or does it </w:t>
      </w:r>
      <w:r w:rsidR="003C65C3">
        <w:t xml:space="preserve">require us to move towards </w:t>
      </w:r>
      <w:r>
        <w:t>more transformational ways of thinking?</w:t>
      </w:r>
    </w:p>
    <w:p w14:paraId="311E4A35" w14:textId="5D7BF547" w:rsidR="00FD74BC" w:rsidRPr="00DC59CD" w:rsidRDefault="00345F87" w:rsidP="00DC59CD">
      <w:r>
        <w:t xml:space="preserve">These areas of tension have emerged from the Exploring Green Guidance project and provide a </w:t>
      </w:r>
      <w:r w:rsidR="00991B70">
        <w:t xml:space="preserve">valuable framework for the future development of the field. </w:t>
      </w:r>
    </w:p>
    <w:p w14:paraId="73C09086" w14:textId="4D872142" w:rsidR="00D10C79" w:rsidRDefault="00222525" w:rsidP="00222525">
      <w:pPr>
        <w:pStyle w:val="Heading2"/>
      </w:pPr>
      <w:r>
        <w:t>B</w:t>
      </w:r>
      <w:r w:rsidR="00D10C79" w:rsidRPr="00D10C79">
        <w:t>ibliographical references.</w:t>
      </w:r>
    </w:p>
    <w:p w14:paraId="6EAC58FF" w14:textId="691B2F7C" w:rsidR="00FC590D" w:rsidRDefault="00FC590D" w:rsidP="00050AFA">
      <w:r w:rsidRPr="00FC590D">
        <w:t xml:space="preserve">Bakke, I.B., Hooley, T., Lucas Casanova, M., Šprlák, T., Kavková, E., Košťálová, H., Ostroha, L. &amp; Wrzosek, M. (2024). </w:t>
      </w:r>
      <w:r w:rsidRPr="00FC590D">
        <w:rPr>
          <w:i/>
          <w:iCs/>
        </w:rPr>
        <w:t>Evidence on green guidance: A review of the literature</w:t>
      </w:r>
      <w:r w:rsidRPr="00FC590D">
        <w:t>. Exploring Green Guidance.</w:t>
      </w:r>
      <w:r w:rsidR="00DE20CB">
        <w:t xml:space="preserve"> </w:t>
      </w:r>
      <w:hyperlink r:id="rId5" w:history="1">
        <w:r w:rsidR="00DE20CB" w:rsidRPr="00006D07">
          <w:rPr>
            <w:rStyle w:val="Hyperlink"/>
          </w:rPr>
          <w:t>https://www.green-guidance.eu/resources/evidence-on-green-guidance-a-review-of-the-literature/</w:t>
        </w:r>
      </w:hyperlink>
      <w:r w:rsidR="00DE20CB">
        <w:t xml:space="preserve"> </w:t>
      </w:r>
    </w:p>
    <w:p w14:paraId="16C46EB6" w14:textId="045FEA4E" w:rsidR="00050AFA" w:rsidRDefault="00050AFA" w:rsidP="00050AFA">
      <w:r>
        <w:t xml:space="preserve">Buhl, R., &amp; Plant, P. (2023). </w:t>
      </w:r>
      <w:proofErr w:type="spellStart"/>
      <w:r w:rsidRPr="00050AFA">
        <w:rPr>
          <w:i/>
          <w:iCs/>
        </w:rPr>
        <w:t>Karrierevejledning</w:t>
      </w:r>
      <w:proofErr w:type="spellEnd"/>
      <w:r w:rsidRPr="00050AFA">
        <w:rPr>
          <w:i/>
          <w:iCs/>
        </w:rPr>
        <w:t xml:space="preserve"> </w:t>
      </w:r>
      <w:proofErr w:type="spellStart"/>
      <w:r w:rsidRPr="00050AFA">
        <w:rPr>
          <w:i/>
          <w:iCs/>
        </w:rPr>
        <w:t>og</w:t>
      </w:r>
      <w:proofErr w:type="spellEnd"/>
      <w:r w:rsidRPr="00050AFA">
        <w:rPr>
          <w:i/>
          <w:iCs/>
        </w:rPr>
        <w:t xml:space="preserve"> </w:t>
      </w:r>
      <w:proofErr w:type="spellStart"/>
      <w:r w:rsidRPr="00050AFA">
        <w:rPr>
          <w:i/>
          <w:iCs/>
        </w:rPr>
        <w:t>bæredygtighed</w:t>
      </w:r>
      <w:proofErr w:type="spellEnd"/>
      <w:r>
        <w:t xml:space="preserve"> [Career guidance and sustainability]. Frydenlund.</w:t>
      </w:r>
    </w:p>
    <w:p w14:paraId="68D7EB51" w14:textId="141F174C" w:rsidR="00145C02" w:rsidRDefault="00145C02" w:rsidP="00050AFA">
      <w:r>
        <w:t xml:space="preserve">Dimsits, M. &amp; Hooley, T. (Forthcoming). </w:t>
      </w:r>
      <w:r w:rsidR="00CA118B" w:rsidRPr="00CA118B">
        <w:t>Environmentally sustainable career guidance (ESCG): A framework for practice</w:t>
      </w:r>
      <w:r w:rsidR="00CA118B">
        <w:t xml:space="preserve">. </w:t>
      </w:r>
      <w:r w:rsidR="00CA118B" w:rsidRPr="00CA118B">
        <w:rPr>
          <w:i/>
          <w:iCs/>
        </w:rPr>
        <w:t>Journal of the National Institute for Career Education and Counselling</w:t>
      </w:r>
      <w:r w:rsidR="00CA118B">
        <w:t xml:space="preserve">. (Under review). </w:t>
      </w:r>
    </w:p>
    <w:p w14:paraId="75950321" w14:textId="521C2504" w:rsidR="00A35CF7" w:rsidRDefault="00A35CF7" w:rsidP="00050AFA">
      <w:proofErr w:type="spellStart"/>
      <w:r w:rsidRPr="00A35CF7">
        <w:t>Harnsten</w:t>
      </w:r>
      <w:proofErr w:type="spellEnd"/>
      <w:r w:rsidRPr="00A35CF7">
        <w:t xml:space="preserve">, G. (1994). </w:t>
      </w:r>
      <w:r w:rsidRPr="00A35CF7">
        <w:rPr>
          <w:i/>
          <w:iCs/>
        </w:rPr>
        <w:t>The research circle- Building knowledge on equal terms</w:t>
      </w:r>
      <w:r w:rsidRPr="00A35CF7">
        <w:t>. Swedish Trade Union Confederation. https://files.eric.ed.gov/fulltext/ED378936.pdf</w:t>
      </w:r>
    </w:p>
    <w:p w14:paraId="55E246A5" w14:textId="51D02142" w:rsidR="00754A22" w:rsidRDefault="00754A22" w:rsidP="00050AFA">
      <w:r w:rsidRPr="00754A22">
        <w:t>Hooley, T., Bakke, I.B., Casanova, M.L., Kavková, E., Košťálová, H., Ostroha, L., Šprlák, T. &amp; Wrzosek, M. (2024</w:t>
      </w:r>
      <w:r w:rsidR="006D32AE">
        <w:t>a</w:t>
      </w:r>
      <w:r w:rsidRPr="00754A22">
        <w:t>).</w:t>
      </w:r>
      <w:r>
        <w:t xml:space="preserve"> </w:t>
      </w:r>
      <w:r w:rsidRPr="00754A22">
        <w:rPr>
          <w:i/>
          <w:iCs/>
        </w:rPr>
        <w:t xml:space="preserve">Policies for a green transition: Exploring contemporary </w:t>
      </w:r>
      <w:r w:rsidRPr="00754A22">
        <w:rPr>
          <w:i/>
          <w:iCs/>
        </w:rPr>
        <w:lastRenderedPageBreak/>
        <w:t>environmental and sustainability policies for green guidance</w:t>
      </w:r>
      <w:r w:rsidRPr="00754A22">
        <w:t>. Exploring Green Guidance.</w:t>
      </w:r>
      <w:r w:rsidR="007F3E8B">
        <w:t xml:space="preserve"> </w:t>
      </w:r>
      <w:hyperlink r:id="rId6" w:history="1">
        <w:r w:rsidR="007F3E8B" w:rsidRPr="008B5A13">
          <w:rPr>
            <w:rStyle w:val="Hyperlink"/>
          </w:rPr>
          <w:t>https://www.green-guidance.eu/resources/green-guidance-policy-review/</w:t>
        </w:r>
      </w:hyperlink>
      <w:r w:rsidR="007F3E8B">
        <w:t xml:space="preserve"> </w:t>
      </w:r>
    </w:p>
    <w:p w14:paraId="5A17E97F" w14:textId="749254B8" w:rsidR="006D32AE" w:rsidRDefault="006D32AE" w:rsidP="00050AFA">
      <w:r w:rsidRPr="006D32AE">
        <w:t>Hooley, T., Bakke, I.B., Casanova, M.L., Kavková, E., Košťálová, H., Ostroha, L., Šprlák, T. &amp; Wrzosek, M. (2024</w:t>
      </w:r>
      <w:r>
        <w:t>b</w:t>
      </w:r>
      <w:r w:rsidRPr="006D32AE">
        <w:t>).</w:t>
      </w:r>
      <w:r>
        <w:t xml:space="preserve"> </w:t>
      </w:r>
      <w:r w:rsidRPr="006D32AE">
        <w:rPr>
          <w:i/>
          <w:iCs/>
        </w:rPr>
        <w:t>Practitioners’ perspectives on green guidance: An international survey</w:t>
      </w:r>
      <w:r w:rsidRPr="006D32AE">
        <w:t>. Exploring Green Guidance.</w:t>
      </w:r>
    </w:p>
    <w:p w14:paraId="15F64CE7" w14:textId="74F1F477" w:rsidR="00AB7868" w:rsidRDefault="00AB7868" w:rsidP="00050AFA">
      <w:r w:rsidRPr="00AB7868">
        <w:t xml:space="preserve">Kavková, </w:t>
      </w:r>
      <w:r>
        <w:t xml:space="preserve">E., </w:t>
      </w:r>
      <w:r w:rsidRPr="00AB7868">
        <w:t xml:space="preserve">Košťálová, </w:t>
      </w:r>
      <w:r>
        <w:t xml:space="preserve">H., </w:t>
      </w:r>
      <w:r w:rsidRPr="00AB7868">
        <w:t xml:space="preserve">Bårdsdatter Bakke, </w:t>
      </w:r>
      <w:r>
        <w:t xml:space="preserve">I., </w:t>
      </w:r>
      <w:r w:rsidRPr="00AB7868">
        <w:t xml:space="preserve">Hooley, </w:t>
      </w:r>
      <w:r>
        <w:t xml:space="preserve">T., </w:t>
      </w:r>
      <w:r w:rsidRPr="00AB7868">
        <w:t xml:space="preserve">Lucas Casanova, </w:t>
      </w:r>
      <w:r>
        <w:t xml:space="preserve">M., </w:t>
      </w:r>
      <w:r w:rsidRPr="00AB7868">
        <w:t xml:space="preserve">Ostroha, </w:t>
      </w:r>
      <w:r>
        <w:t xml:space="preserve">L., </w:t>
      </w:r>
      <w:r w:rsidRPr="00AB7868">
        <w:t xml:space="preserve">Przybysz, </w:t>
      </w:r>
      <w:r>
        <w:t xml:space="preserve">I., </w:t>
      </w:r>
      <w:r w:rsidRPr="00AB7868">
        <w:t xml:space="preserve">Šprlák, </w:t>
      </w:r>
      <w:r>
        <w:t xml:space="preserve">T., </w:t>
      </w:r>
      <w:r w:rsidRPr="00AB7868">
        <w:t xml:space="preserve">Stano, </w:t>
      </w:r>
      <w:r>
        <w:t xml:space="preserve">K., </w:t>
      </w:r>
      <w:r w:rsidRPr="00AB7868">
        <w:t>&amp; Wrzosek</w:t>
      </w:r>
      <w:r>
        <w:t>, M.</w:t>
      </w:r>
      <w:r w:rsidRPr="00AB7868">
        <w:t xml:space="preserve"> (2025). </w:t>
      </w:r>
      <w:r w:rsidRPr="00AB7868">
        <w:rPr>
          <w:i/>
          <w:iCs/>
        </w:rPr>
        <w:t>Developing green guidance practice: Report from the innovation factories</w:t>
      </w:r>
      <w:r w:rsidRPr="00AB7868">
        <w:t>. Exploring Green Guidance</w:t>
      </w:r>
      <w:r w:rsidR="00260C22">
        <w:t>.</w:t>
      </w:r>
      <w:r w:rsidR="00390EF7">
        <w:t xml:space="preserve"> </w:t>
      </w:r>
      <w:hyperlink r:id="rId7" w:history="1">
        <w:r w:rsidR="00390EF7" w:rsidRPr="008B5A13">
          <w:rPr>
            <w:rStyle w:val="Hyperlink"/>
          </w:rPr>
          <w:t>https://www.green-guidance.eu/resources/developing-green-guidance-practice-report-from-the-innovation-factories/</w:t>
        </w:r>
      </w:hyperlink>
      <w:r w:rsidR="00390EF7">
        <w:t xml:space="preserve"> </w:t>
      </w:r>
    </w:p>
    <w:p w14:paraId="4AFD519B" w14:textId="4533260F" w:rsidR="00E02BB8" w:rsidRDefault="00E02BB8" w:rsidP="00050AFA">
      <w:r w:rsidRPr="00E02BB8">
        <w:rPr>
          <w:lang w:val="it-IT"/>
        </w:rPr>
        <w:t>Lucas Casanova, M</w:t>
      </w:r>
      <w:r>
        <w:rPr>
          <w:lang w:val="it-IT"/>
        </w:rPr>
        <w:t>. &amp; Hooley, T. (202</w:t>
      </w:r>
      <w:r w:rsidR="00555865">
        <w:rPr>
          <w:lang w:val="it-IT"/>
        </w:rPr>
        <w:t xml:space="preserve">6). </w:t>
      </w:r>
      <w:r w:rsidR="00555865" w:rsidRPr="00555865">
        <w:t xml:space="preserve">Measuring engagement with green guidance: Validation of new instruments and a mediation model. </w:t>
      </w:r>
      <w:r w:rsidR="00555865" w:rsidRPr="00555865">
        <w:rPr>
          <w:i/>
          <w:iCs/>
        </w:rPr>
        <w:t>Journal of the National Institute for Career Education and Counselling</w:t>
      </w:r>
      <w:r w:rsidR="00555865" w:rsidRPr="00555865">
        <w:t xml:space="preserve">, 56(1), 139-159. </w:t>
      </w:r>
      <w:hyperlink r:id="rId8" w:history="1">
        <w:r w:rsidR="00555865" w:rsidRPr="008B5A13">
          <w:rPr>
            <w:rStyle w:val="Hyperlink"/>
          </w:rPr>
          <w:t>https://doi.org/10.20856/jnicec.5612</w:t>
        </w:r>
      </w:hyperlink>
      <w:r w:rsidR="00555865">
        <w:t xml:space="preserve"> </w:t>
      </w:r>
    </w:p>
    <w:p w14:paraId="5627398F" w14:textId="77777777" w:rsidR="00390EF7" w:rsidRPr="00390EF7" w:rsidRDefault="00390EF7" w:rsidP="00390EF7">
      <w:pPr>
        <w:rPr>
          <w:lang w:val="it-IT"/>
        </w:rPr>
      </w:pPr>
      <w:r w:rsidRPr="00260C22">
        <w:t xml:space="preserve">Lucas Casanova, M.; Šprlák, T.; Hooley, T.; Bakke, I.B.; Dimsits, M.; Kavková, E.; Košťálová, H.; Ostroha, L., Przybysz, I.; Stano, K.; &amp; Wrzosek, M. (2025). </w:t>
      </w:r>
      <w:r w:rsidRPr="00260C22">
        <w:rPr>
          <w:i/>
          <w:iCs/>
        </w:rPr>
        <w:t>Exploring green guidance: A handbook for practitioners</w:t>
      </w:r>
      <w:r w:rsidRPr="00260C22">
        <w:t xml:space="preserve">. Instituto Politécnico do Porto. </w:t>
      </w:r>
      <w:r w:rsidRPr="00390EF7">
        <w:rPr>
          <w:lang w:val="it-IT"/>
        </w:rPr>
        <w:t xml:space="preserve">Escola Superior de Educação. </w:t>
      </w:r>
      <w:hyperlink r:id="rId9" w:history="1">
        <w:r w:rsidRPr="008B5A13">
          <w:rPr>
            <w:rStyle w:val="Hyperlink"/>
            <w:lang w:val="it-IT"/>
          </w:rPr>
          <w:t>https://www.green-guidance.eu/resources/green-guidance-handbook/</w:t>
        </w:r>
      </w:hyperlink>
      <w:r>
        <w:rPr>
          <w:lang w:val="it-IT"/>
        </w:rPr>
        <w:t xml:space="preserve"> </w:t>
      </w:r>
    </w:p>
    <w:p w14:paraId="22EE1450" w14:textId="4566E0A2" w:rsidR="00795513" w:rsidRDefault="00795513" w:rsidP="00795513">
      <w:r w:rsidRPr="00D3684E">
        <w:t xml:space="preserve">Plant, P. (1996). </w:t>
      </w:r>
      <w:r w:rsidRPr="00795513">
        <w:t xml:space="preserve">Economy &amp; ecology: Towards a change of paradigms in careers guidance. Paper at the </w:t>
      </w:r>
      <w:r w:rsidRPr="00851D02">
        <w:rPr>
          <w:i/>
          <w:iCs/>
        </w:rPr>
        <w:t>IRTAC/BCSCA/CGCA International Conference on Counselling: Enhancing Personal Issues in the Global Community</w:t>
      </w:r>
      <w:r w:rsidRPr="00795513">
        <w:t>, Vancouver, Canada, May 1996.</w:t>
      </w:r>
    </w:p>
    <w:p w14:paraId="2C41F7D8" w14:textId="0A7F4231" w:rsidR="00F22175" w:rsidRPr="00795513" w:rsidRDefault="00F22175" w:rsidP="00795513">
      <w:r w:rsidRPr="00F22175">
        <w:t xml:space="preserve">Šprlák, T., Hooley, T., Lucas Casanova, M., Kavková, E., Košťálová, H., Bårdsdatter Bakke, I., Ostroha, L., Przybysz, I., Maszk, A., K. &amp; Wrzosek, M. (2026). </w:t>
      </w:r>
      <w:r w:rsidRPr="00F22175">
        <w:rPr>
          <w:i/>
          <w:iCs/>
        </w:rPr>
        <w:t>Green guidance impact report. How can green guidance impact practice, organisations and policy.</w:t>
      </w:r>
      <w:r w:rsidRPr="00F22175">
        <w:t xml:space="preserve"> Exploring Green Guidance.</w:t>
      </w:r>
      <w:r>
        <w:t xml:space="preserve"> </w:t>
      </w:r>
      <w:hyperlink r:id="rId10" w:history="1">
        <w:r w:rsidR="00132A15" w:rsidRPr="008B5A13">
          <w:rPr>
            <w:rStyle w:val="Hyperlink"/>
          </w:rPr>
          <w:t>https://www.green-guidance.eu/resources/green-guidance-impact-report-how-can-green-guidance-impact-practice-organisations-and-policy/</w:t>
        </w:r>
      </w:hyperlink>
      <w:r w:rsidR="00132A15">
        <w:t xml:space="preserve"> </w:t>
      </w:r>
    </w:p>
    <w:sectPr w:rsidR="00F22175" w:rsidRPr="007955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5598F"/>
    <w:multiLevelType w:val="multilevel"/>
    <w:tmpl w:val="F798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5B10E9"/>
    <w:multiLevelType w:val="hybridMultilevel"/>
    <w:tmpl w:val="F1DC0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9B2970"/>
    <w:multiLevelType w:val="hybridMultilevel"/>
    <w:tmpl w:val="EA905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747BA0"/>
    <w:multiLevelType w:val="hybridMultilevel"/>
    <w:tmpl w:val="E6223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7603676">
    <w:abstractNumId w:val="0"/>
  </w:num>
  <w:num w:numId="2" w16cid:durableId="2133597221">
    <w:abstractNumId w:val="3"/>
  </w:num>
  <w:num w:numId="3" w16cid:durableId="1293484057">
    <w:abstractNumId w:val="2"/>
  </w:num>
  <w:num w:numId="4" w16cid:durableId="323516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6B7"/>
    <w:rsid w:val="00020CD8"/>
    <w:rsid w:val="00032FA6"/>
    <w:rsid w:val="00050AFA"/>
    <w:rsid w:val="00051831"/>
    <w:rsid w:val="00072845"/>
    <w:rsid w:val="00085046"/>
    <w:rsid w:val="00091170"/>
    <w:rsid w:val="00095802"/>
    <w:rsid w:val="00095CC6"/>
    <w:rsid w:val="000A700F"/>
    <w:rsid w:val="000C032A"/>
    <w:rsid w:val="000C4A46"/>
    <w:rsid w:val="000D5AC0"/>
    <w:rsid w:val="000E26B5"/>
    <w:rsid w:val="000F05E9"/>
    <w:rsid w:val="000F31C8"/>
    <w:rsid w:val="000F6DA1"/>
    <w:rsid w:val="00132A15"/>
    <w:rsid w:val="00145C02"/>
    <w:rsid w:val="00151132"/>
    <w:rsid w:val="001514AA"/>
    <w:rsid w:val="0019645F"/>
    <w:rsid w:val="001C0DE2"/>
    <w:rsid w:val="001C1171"/>
    <w:rsid w:val="001D5BEA"/>
    <w:rsid w:val="001E503E"/>
    <w:rsid w:val="001F1D45"/>
    <w:rsid w:val="00205957"/>
    <w:rsid w:val="00222525"/>
    <w:rsid w:val="002357AB"/>
    <w:rsid w:val="00260C22"/>
    <w:rsid w:val="002A2757"/>
    <w:rsid w:val="002F0D75"/>
    <w:rsid w:val="002F642B"/>
    <w:rsid w:val="0031095E"/>
    <w:rsid w:val="00345F87"/>
    <w:rsid w:val="00380258"/>
    <w:rsid w:val="00390EF7"/>
    <w:rsid w:val="003C4423"/>
    <w:rsid w:val="003C65C3"/>
    <w:rsid w:val="003F3B1D"/>
    <w:rsid w:val="00421B83"/>
    <w:rsid w:val="0042490D"/>
    <w:rsid w:val="00426E1B"/>
    <w:rsid w:val="00454248"/>
    <w:rsid w:val="004743BC"/>
    <w:rsid w:val="0047486D"/>
    <w:rsid w:val="00497883"/>
    <w:rsid w:val="004B49CD"/>
    <w:rsid w:val="004B4BF8"/>
    <w:rsid w:val="004D23C0"/>
    <w:rsid w:val="004E0514"/>
    <w:rsid w:val="004F61E0"/>
    <w:rsid w:val="005033FB"/>
    <w:rsid w:val="00521DAF"/>
    <w:rsid w:val="005234CA"/>
    <w:rsid w:val="005302CB"/>
    <w:rsid w:val="005331ED"/>
    <w:rsid w:val="00537E30"/>
    <w:rsid w:val="0054423B"/>
    <w:rsid w:val="00547A9B"/>
    <w:rsid w:val="00555865"/>
    <w:rsid w:val="00557123"/>
    <w:rsid w:val="005950E3"/>
    <w:rsid w:val="005C44BB"/>
    <w:rsid w:val="005D0BA1"/>
    <w:rsid w:val="005F5568"/>
    <w:rsid w:val="00613E1F"/>
    <w:rsid w:val="00620353"/>
    <w:rsid w:val="006209A4"/>
    <w:rsid w:val="00630263"/>
    <w:rsid w:val="00634067"/>
    <w:rsid w:val="0065153C"/>
    <w:rsid w:val="00664046"/>
    <w:rsid w:val="006A45B0"/>
    <w:rsid w:val="006A6155"/>
    <w:rsid w:val="006B7F47"/>
    <w:rsid w:val="006D32AE"/>
    <w:rsid w:val="006E2362"/>
    <w:rsid w:val="006F0FC7"/>
    <w:rsid w:val="006F4EE8"/>
    <w:rsid w:val="00716909"/>
    <w:rsid w:val="007236B7"/>
    <w:rsid w:val="00737134"/>
    <w:rsid w:val="0075080C"/>
    <w:rsid w:val="00754A22"/>
    <w:rsid w:val="00780594"/>
    <w:rsid w:val="007867E3"/>
    <w:rsid w:val="007915CD"/>
    <w:rsid w:val="007942A0"/>
    <w:rsid w:val="00795513"/>
    <w:rsid w:val="007D1ABD"/>
    <w:rsid w:val="007F3E8B"/>
    <w:rsid w:val="007F4C3B"/>
    <w:rsid w:val="00805CA8"/>
    <w:rsid w:val="00847D5E"/>
    <w:rsid w:val="00851D02"/>
    <w:rsid w:val="00852962"/>
    <w:rsid w:val="00865684"/>
    <w:rsid w:val="0089432C"/>
    <w:rsid w:val="008F23D3"/>
    <w:rsid w:val="00920279"/>
    <w:rsid w:val="00920CAD"/>
    <w:rsid w:val="00937304"/>
    <w:rsid w:val="00945D8A"/>
    <w:rsid w:val="0097431F"/>
    <w:rsid w:val="009812CC"/>
    <w:rsid w:val="00991B70"/>
    <w:rsid w:val="009A54B8"/>
    <w:rsid w:val="009B39A7"/>
    <w:rsid w:val="009C7E4B"/>
    <w:rsid w:val="00A06941"/>
    <w:rsid w:val="00A212A5"/>
    <w:rsid w:val="00A243E4"/>
    <w:rsid w:val="00A2659D"/>
    <w:rsid w:val="00A3313F"/>
    <w:rsid w:val="00A35CF7"/>
    <w:rsid w:val="00A3797E"/>
    <w:rsid w:val="00A673DC"/>
    <w:rsid w:val="00A72A3F"/>
    <w:rsid w:val="00AA1A68"/>
    <w:rsid w:val="00AA29A7"/>
    <w:rsid w:val="00AA3508"/>
    <w:rsid w:val="00AA7AEF"/>
    <w:rsid w:val="00AB1C78"/>
    <w:rsid w:val="00AB5E8F"/>
    <w:rsid w:val="00AB7868"/>
    <w:rsid w:val="00AD420A"/>
    <w:rsid w:val="00AE28B7"/>
    <w:rsid w:val="00B0208A"/>
    <w:rsid w:val="00B25D33"/>
    <w:rsid w:val="00B6559E"/>
    <w:rsid w:val="00B72421"/>
    <w:rsid w:val="00B74838"/>
    <w:rsid w:val="00B8172A"/>
    <w:rsid w:val="00B836FA"/>
    <w:rsid w:val="00B85FC3"/>
    <w:rsid w:val="00B91FB9"/>
    <w:rsid w:val="00BA0B4C"/>
    <w:rsid w:val="00BC6EAA"/>
    <w:rsid w:val="00C07A43"/>
    <w:rsid w:val="00C13159"/>
    <w:rsid w:val="00C24FB4"/>
    <w:rsid w:val="00C77A71"/>
    <w:rsid w:val="00C93392"/>
    <w:rsid w:val="00C95127"/>
    <w:rsid w:val="00CA118B"/>
    <w:rsid w:val="00CC48D4"/>
    <w:rsid w:val="00CC6B6E"/>
    <w:rsid w:val="00CD68C4"/>
    <w:rsid w:val="00CE4652"/>
    <w:rsid w:val="00D10C79"/>
    <w:rsid w:val="00D23D55"/>
    <w:rsid w:val="00D3684E"/>
    <w:rsid w:val="00D36D15"/>
    <w:rsid w:val="00D83E08"/>
    <w:rsid w:val="00D96E46"/>
    <w:rsid w:val="00DC59CD"/>
    <w:rsid w:val="00DD096B"/>
    <w:rsid w:val="00DD53E3"/>
    <w:rsid w:val="00DE20CB"/>
    <w:rsid w:val="00DE466F"/>
    <w:rsid w:val="00E02BB8"/>
    <w:rsid w:val="00E22F3F"/>
    <w:rsid w:val="00E33219"/>
    <w:rsid w:val="00E45CEA"/>
    <w:rsid w:val="00E47D8B"/>
    <w:rsid w:val="00E60F66"/>
    <w:rsid w:val="00E70284"/>
    <w:rsid w:val="00E81D30"/>
    <w:rsid w:val="00EF055F"/>
    <w:rsid w:val="00F02E11"/>
    <w:rsid w:val="00F03251"/>
    <w:rsid w:val="00F22175"/>
    <w:rsid w:val="00F241B4"/>
    <w:rsid w:val="00F359E4"/>
    <w:rsid w:val="00F41156"/>
    <w:rsid w:val="00F43F9B"/>
    <w:rsid w:val="00F62C2E"/>
    <w:rsid w:val="00FA2C9D"/>
    <w:rsid w:val="00FC590D"/>
    <w:rsid w:val="00FD74BC"/>
    <w:rsid w:val="00FE4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A820D"/>
  <w15:chartTrackingRefBased/>
  <w15:docId w15:val="{8FBE96F3-101D-4B4D-A319-84445D0C8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36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6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6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6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6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6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6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6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6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36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36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36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6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6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6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6B7"/>
    <w:rPr>
      <w:rFonts w:eastAsiaTheme="majorEastAsia" w:cstheme="majorBidi"/>
      <w:color w:val="272727" w:themeColor="text1" w:themeTint="D8"/>
    </w:rPr>
  </w:style>
  <w:style w:type="paragraph" w:styleId="Title">
    <w:name w:val="Title"/>
    <w:basedOn w:val="Normal"/>
    <w:next w:val="Normal"/>
    <w:link w:val="TitleChar"/>
    <w:uiPriority w:val="10"/>
    <w:qFormat/>
    <w:rsid w:val="00723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6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6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6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802"/>
    <w:pPr>
      <w:spacing w:before="160"/>
      <w:ind w:left="720"/>
    </w:pPr>
    <w:rPr>
      <w:i/>
      <w:iCs/>
      <w:color w:val="404040" w:themeColor="text1" w:themeTint="BF"/>
    </w:rPr>
  </w:style>
  <w:style w:type="character" w:customStyle="1" w:styleId="QuoteChar">
    <w:name w:val="Quote Char"/>
    <w:basedOn w:val="DefaultParagraphFont"/>
    <w:link w:val="Quote"/>
    <w:uiPriority w:val="29"/>
    <w:rsid w:val="00095802"/>
    <w:rPr>
      <w:i/>
      <w:iCs/>
      <w:color w:val="404040" w:themeColor="text1" w:themeTint="BF"/>
    </w:rPr>
  </w:style>
  <w:style w:type="paragraph" w:styleId="ListParagraph">
    <w:name w:val="List Paragraph"/>
    <w:basedOn w:val="Normal"/>
    <w:uiPriority w:val="34"/>
    <w:qFormat/>
    <w:rsid w:val="007236B7"/>
    <w:pPr>
      <w:ind w:left="720"/>
      <w:contextualSpacing/>
    </w:pPr>
  </w:style>
  <w:style w:type="character" w:styleId="IntenseEmphasis">
    <w:name w:val="Intense Emphasis"/>
    <w:basedOn w:val="DefaultParagraphFont"/>
    <w:uiPriority w:val="21"/>
    <w:qFormat/>
    <w:rsid w:val="007236B7"/>
    <w:rPr>
      <w:i/>
      <w:iCs/>
      <w:color w:val="0F4761" w:themeColor="accent1" w:themeShade="BF"/>
    </w:rPr>
  </w:style>
  <w:style w:type="paragraph" w:styleId="IntenseQuote">
    <w:name w:val="Intense Quote"/>
    <w:basedOn w:val="Normal"/>
    <w:next w:val="Normal"/>
    <w:link w:val="IntenseQuoteChar"/>
    <w:uiPriority w:val="30"/>
    <w:qFormat/>
    <w:rsid w:val="00723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6B7"/>
    <w:rPr>
      <w:i/>
      <w:iCs/>
      <w:color w:val="0F4761" w:themeColor="accent1" w:themeShade="BF"/>
    </w:rPr>
  </w:style>
  <w:style w:type="character" w:styleId="IntenseReference">
    <w:name w:val="Intense Reference"/>
    <w:basedOn w:val="DefaultParagraphFont"/>
    <w:uiPriority w:val="32"/>
    <w:qFormat/>
    <w:rsid w:val="007236B7"/>
    <w:rPr>
      <w:b/>
      <w:bCs/>
      <w:smallCaps/>
      <w:color w:val="0F4761" w:themeColor="accent1" w:themeShade="BF"/>
      <w:spacing w:val="5"/>
    </w:rPr>
  </w:style>
  <w:style w:type="character" w:styleId="Hyperlink">
    <w:name w:val="Hyperlink"/>
    <w:basedOn w:val="DefaultParagraphFont"/>
    <w:uiPriority w:val="99"/>
    <w:unhideWhenUsed/>
    <w:rsid w:val="00D10C79"/>
    <w:rPr>
      <w:color w:val="467886" w:themeColor="hyperlink"/>
      <w:u w:val="single"/>
    </w:rPr>
  </w:style>
  <w:style w:type="character" w:styleId="UnresolvedMention">
    <w:name w:val="Unresolved Mention"/>
    <w:basedOn w:val="DefaultParagraphFont"/>
    <w:uiPriority w:val="99"/>
    <w:semiHidden/>
    <w:unhideWhenUsed/>
    <w:rsid w:val="00D10C79"/>
    <w:rPr>
      <w:color w:val="605E5C"/>
      <w:shd w:val="clear" w:color="auto" w:fill="E1DFDD"/>
    </w:rPr>
  </w:style>
  <w:style w:type="paragraph" w:styleId="NormalWeb">
    <w:name w:val="Normal (Web)"/>
    <w:basedOn w:val="Normal"/>
    <w:uiPriority w:val="99"/>
    <w:semiHidden/>
    <w:unhideWhenUsed/>
    <w:rsid w:val="00DD096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0856/jnicec.5612" TargetMode="External"/><Relationship Id="rId3" Type="http://schemas.openxmlformats.org/officeDocument/2006/relationships/settings" Target="settings.xml"/><Relationship Id="rId7" Type="http://schemas.openxmlformats.org/officeDocument/2006/relationships/hyperlink" Target="https://www.green-guidance.eu/resources/developing-green-guidance-practice-report-from-the-innovation-factor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reen-guidance.eu/resources/green-guidance-policy-review/" TargetMode="External"/><Relationship Id="rId11" Type="http://schemas.openxmlformats.org/officeDocument/2006/relationships/fontTable" Target="fontTable.xml"/><Relationship Id="rId5" Type="http://schemas.openxmlformats.org/officeDocument/2006/relationships/hyperlink" Target="https://www.green-guidance.eu/resources/evidence-on-green-guidance-a-review-of-the-literature/" TargetMode="External"/><Relationship Id="rId10" Type="http://schemas.openxmlformats.org/officeDocument/2006/relationships/hyperlink" Target="https://www.green-guidance.eu/resources/green-guidance-impact-report-how-can-green-guidance-impact-practice-organisations-and-policy/" TargetMode="External"/><Relationship Id="rId4" Type="http://schemas.openxmlformats.org/officeDocument/2006/relationships/webSettings" Target="webSettings.xml"/><Relationship Id="rId9" Type="http://schemas.openxmlformats.org/officeDocument/2006/relationships/hyperlink" Target="https://www.green-guidance.eu/resources/green-guidance-hand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283</TotalTime>
  <Pages>8</Pages>
  <Words>3241</Words>
  <Characters>18479</Characters>
  <Application>Microsoft Office Word</Application>
  <DocSecurity>0</DocSecurity>
  <Lines>153</Lines>
  <Paragraphs>43</Paragraphs>
  <ScaleCrop>false</ScaleCrop>
  <Company>University of Derby</Company>
  <LinksUpToDate>false</LinksUpToDate>
  <CharactersWithSpaces>21677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Tristram Hooley</dc:creator>
  <cp:keywords/>
  <dc:description/>
  <cp:lastModifiedBy>Tristram Hooley</cp:lastModifiedBy>
  <cp:revision>176</cp:revision>
  <dcterms:created xsi:type="dcterms:W3CDTF">2026-03-28T11:47:00Z</dcterms:created>
  <dcterms:modified xsi:type="dcterms:W3CDTF">2026-04-10T15:18:00Z</dcterms:modified>
</cp:coreProperties>
</file>