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BEA63" w14:textId="77777777" w:rsidR="00D31BEC" w:rsidRDefault="00D31BEC" w:rsidP="004E337B">
      <w:pPr>
        <w:spacing w:line="360" w:lineRule="auto"/>
        <w:jc w:val="both"/>
        <w:rPr>
          <w:rFonts w:ascii="Calibri" w:hAnsi="Calibri" w:cs="Calibri"/>
          <w:b/>
          <w:bCs/>
          <w:sz w:val="22"/>
          <w:szCs w:val="22"/>
        </w:rPr>
      </w:pPr>
      <w:r w:rsidRPr="00D31BEC">
        <w:rPr>
          <w:rFonts w:ascii="Calibri" w:hAnsi="Calibri" w:cs="Calibri"/>
          <w:b/>
          <w:bCs/>
          <w:sz w:val="22"/>
          <w:szCs w:val="22"/>
        </w:rPr>
        <w:t>FORMAT OF PROPOSALS</w:t>
      </w:r>
    </w:p>
    <w:p w14:paraId="1B299648" w14:textId="3E3338EE" w:rsidR="004E337B" w:rsidRPr="00D31BEC" w:rsidRDefault="004E337B" w:rsidP="004E337B">
      <w:pPr>
        <w:spacing w:line="360" w:lineRule="auto"/>
        <w:jc w:val="both"/>
        <w:rPr>
          <w:rFonts w:ascii="Calibri" w:hAnsi="Calibri" w:cs="Calibri"/>
          <w:sz w:val="22"/>
          <w:szCs w:val="22"/>
        </w:rPr>
      </w:pPr>
      <w:r w:rsidRPr="00D31BEC">
        <w:rPr>
          <w:rFonts w:ascii="Calibri" w:hAnsi="Calibri" w:cs="Calibri"/>
          <w:sz w:val="22"/>
          <w:szCs w:val="22"/>
        </w:rPr>
        <w:t xml:space="preserve">Family name and first name of the first contributor/author: </w:t>
      </w:r>
      <w:proofErr w:type="spellStart"/>
      <w:r w:rsidRPr="00D31BEC">
        <w:rPr>
          <w:rFonts w:ascii="Calibri" w:hAnsi="Calibri" w:cs="Calibri"/>
          <w:sz w:val="22"/>
          <w:szCs w:val="22"/>
        </w:rPr>
        <w:t>Yuzuka</w:t>
      </w:r>
      <w:proofErr w:type="spellEnd"/>
      <w:r w:rsidRPr="00D31BEC">
        <w:rPr>
          <w:rFonts w:ascii="Calibri" w:hAnsi="Calibri" w:cs="Calibri"/>
          <w:sz w:val="22"/>
          <w:szCs w:val="22"/>
        </w:rPr>
        <w:t xml:space="preserve"> </w:t>
      </w:r>
      <w:proofErr w:type="spellStart"/>
      <w:r w:rsidRPr="00D31BEC">
        <w:rPr>
          <w:rFonts w:ascii="Calibri" w:hAnsi="Calibri" w:cs="Calibri"/>
          <w:sz w:val="22"/>
          <w:szCs w:val="22"/>
        </w:rPr>
        <w:t>Ashizawa</w:t>
      </w:r>
      <w:proofErr w:type="spellEnd"/>
    </w:p>
    <w:p w14:paraId="6EC070AB" w14:textId="16224B59" w:rsidR="004E337B" w:rsidRPr="00D31BEC" w:rsidRDefault="004E337B" w:rsidP="004E337B">
      <w:pPr>
        <w:spacing w:line="360" w:lineRule="auto"/>
        <w:jc w:val="both"/>
        <w:rPr>
          <w:rFonts w:ascii="Calibri" w:hAnsi="Calibri" w:cs="Calibri"/>
          <w:sz w:val="22"/>
          <w:szCs w:val="22"/>
        </w:rPr>
      </w:pPr>
      <w:r w:rsidRPr="00D31BEC">
        <w:rPr>
          <w:rFonts w:ascii="Calibri" w:hAnsi="Calibri" w:cs="Calibri"/>
          <w:sz w:val="22"/>
          <w:szCs w:val="22"/>
        </w:rPr>
        <w:t>Title/position of the first contributor/author: Assistant Professor</w:t>
      </w:r>
    </w:p>
    <w:p w14:paraId="7833BCFF" w14:textId="3E8E0A5C" w:rsidR="004E337B" w:rsidRPr="00D31BEC" w:rsidRDefault="004E337B" w:rsidP="004E337B">
      <w:pPr>
        <w:spacing w:line="360" w:lineRule="auto"/>
        <w:jc w:val="both"/>
        <w:rPr>
          <w:rFonts w:ascii="Calibri" w:hAnsi="Calibri" w:cs="Calibri"/>
          <w:sz w:val="22"/>
          <w:szCs w:val="22"/>
        </w:rPr>
      </w:pPr>
      <w:r w:rsidRPr="00D31BEC">
        <w:rPr>
          <w:rFonts w:ascii="Calibri" w:hAnsi="Calibri" w:cs="Calibri"/>
          <w:sz w:val="22"/>
          <w:szCs w:val="22"/>
        </w:rPr>
        <w:t>E-mail of the first contributor/author: y.ashizawa31@gmail.com</w:t>
      </w:r>
    </w:p>
    <w:p w14:paraId="562EEBEB" w14:textId="3C907F53" w:rsidR="004E337B" w:rsidRPr="00D31BEC" w:rsidRDefault="004E337B" w:rsidP="004E337B">
      <w:pPr>
        <w:spacing w:line="360" w:lineRule="auto"/>
        <w:jc w:val="both"/>
        <w:rPr>
          <w:rFonts w:ascii="Calibri" w:hAnsi="Calibri" w:cs="Calibri"/>
          <w:sz w:val="22"/>
          <w:szCs w:val="22"/>
        </w:rPr>
      </w:pPr>
      <w:r w:rsidRPr="00D31BEC">
        <w:rPr>
          <w:rFonts w:ascii="Calibri" w:hAnsi="Calibri" w:cs="Calibri"/>
          <w:sz w:val="22"/>
          <w:szCs w:val="22"/>
        </w:rPr>
        <w:t>Institution to which the first contributor/author belongs: Tokiwa University</w:t>
      </w:r>
    </w:p>
    <w:p w14:paraId="2F106DB9" w14:textId="641883A5" w:rsidR="004E337B" w:rsidRPr="00D31BEC" w:rsidRDefault="004E337B" w:rsidP="004E337B">
      <w:pPr>
        <w:spacing w:line="360" w:lineRule="auto"/>
        <w:jc w:val="both"/>
        <w:rPr>
          <w:rFonts w:ascii="Calibri" w:hAnsi="Calibri" w:cs="Calibri"/>
          <w:sz w:val="22"/>
          <w:szCs w:val="22"/>
        </w:rPr>
      </w:pPr>
      <w:r w:rsidRPr="00D31BEC">
        <w:rPr>
          <w:rFonts w:ascii="Calibri" w:hAnsi="Calibri" w:cs="Calibri"/>
          <w:sz w:val="22"/>
          <w:szCs w:val="22"/>
        </w:rPr>
        <w:t>Family name, first name, institution and title/position of presenters at the conference: Please refer to the above</w:t>
      </w:r>
    </w:p>
    <w:p w14:paraId="64C7D7AC" w14:textId="77777777" w:rsidR="004E337B" w:rsidRDefault="004E337B" w:rsidP="004E337B">
      <w:pPr>
        <w:spacing w:line="360" w:lineRule="auto"/>
        <w:jc w:val="both"/>
        <w:rPr>
          <w:rFonts w:ascii="Calibri" w:hAnsi="Calibri" w:cs="Calibri"/>
          <w:sz w:val="22"/>
          <w:szCs w:val="22"/>
        </w:rPr>
      </w:pPr>
    </w:p>
    <w:p w14:paraId="158221C7" w14:textId="143CC954" w:rsidR="00D31BEC" w:rsidRPr="00D31BEC" w:rsidRDefault="00D31BEC" w:rsidP="004E337B">
      <w:pPr>
        <w:spacing w:line="360" w:lineRule="auto"/>
        <w:jc w:val="both"/>
        <w:rPr>
          <w:rFonts w:ascii="Calibri" w:hAnsi="Calibri" w:cs="Calibri"/>
          <w:b/>
          <w:bCs/>
          <w:sz w:val="22"/>
          <w:szCs w:val="22"/>
        </w:rPr>
      </w:pPr>
      <w:r w:rsidRPr="00D31BEC">
        <w:rPr>
          <w:rFonts w:ascii="Calibri" w:hAnsi="Calibri" w:cs="Calibri"/>
          <w:b/>
          <w:bCs/>
          <w:sz w:val="22"/>
          <w:szCs w:val="22"/>
        </w:rPr>
        <w:t>Specifications for Paper sessions</w:t>
      </w:r>
    </w:p>
    <w:p w14:paraId="48E8A0CA" w14:textId="37A8F4E4" w:rsidR="004E337B" w:rsidRPr="00D31BEC" w:rsidRDefault="002100E2" w:rsidP="004E337B">
      <w:pPr>
        <w:spacing w:line="360" w:lineRule="auto"/>
        <w:jc w:val="both"/>
        <w:rPr>
          <w:rFonts w:ascii="Calibri" w:hAnsi="Calibri" w:cs="Calibri" w:hint="eastAsia"/>
          <w:sz w:val="22"/>
          <w:szCs w:val="22"/>
        </w:rPr>
      </w:pPr>
      <w:r w:rsidRPr="00D31BEC">
        <w:rPr>
          <w:rFonts w:ascii="Calibri" w:hAnsi="Calibri" w:cs="Calibri"/>
          <w:sz w:val="22"/>
          <w:szCs w:val="22"/>
        </w:rPr>
        <w:t>Title of paper</w:t>
      </w:r>
      <w:r w:rsidRPr="00D31BEC">
        <w:rPr>
          <w:rFonts w:ascii="Calibri" w:hAnsi="Calibri" w:cs="Calibri" w:hint="eastAsia"/>
          <w:sz w:val="22"/>
          <w:szCs w:val="22"/>
        </w:rPr>
        <w:t xml:space="preserve">: </w:t>
      </w:r>
      <w:r w:rsidR="00185A98" w:rsidRPr="00185A98">
        <w:rPr>
          <w:rFonts w:ascii="Calibri" w:hAnsi="Calibri" w:cs="Calibri"/>
          <w:sz w:val="22"/>
          <w:szCs w:val="22"/>
        </w:rPr>
        <w:t>Collaborative Curriculum Design in Ohio: A Case Study of Task Translation in Manufacturing</w:t>
      </w:r>
    </w:p>
    <w:p w14:paraId="0FEB711B" w14:textId="0EFF719A" w:rsidR="005D6813" w:rsidRPr="00D31BEC" w:rsidRDefault="002100E2" w:rsidP="004E337B">
      <w:pPr>
        <w:spacing w:line="360" w:lineRule="auto"/>
        <w:jc w:val="both"/>
        <w:rPr>
          <w:rFonts w:ascii="Calibri" w:hAnsi="Calibri" w:cs="Calibri"/>
          <w:sz w:val="22"/>
          <w:szCs w:val="22"/>
        </w:rPr>
      </w:pPr>
      <w:r w:rsidRPr="00D31BEC">
        <w:rPr>
          <w:rFonts w:ascii="Calibri" w:hAnsi="Calibri" w:cs="Calibri" w:hint="eastAsia"/>
          <w:sz w:val="22"/>
          <w:szCs w:val="22"/>
        </w:rPr>
        <w:t>C</w:t>
      </w:r>
      <w:r w:rsidRPr="00D31BEC">
        <w:rPr>
          <w:rFonts w:ascii="Calibri" w:hAnsi="Calibri" w:cs="Calibri"/>
          <w:sz w:val="22"/>
          <w:szCs w:val="22"/>
        </w:rPr>
        <w:t xml:space="preserve">onference themes </w:t>
      </w:r>
      <w:r w:rsidRPr="00D31BEC">
        <w:rPr>
          <w:rFonts w:ascii="Calibri" w:hAnsi="Calibri" w:cs="Calibri" w:hint="eastAsia"/>
          <w:sz w:val="22"/>
          <w:szCs w:val="22"/>
        </w:rPr>
        <w:t>my</w:t>
      </w:r>
      <w:r w:rsidRPr="00D31BEC">
        <w:rPr>
          <w:rFonts w:ascii="Calibri" w:hAnsi="Calibri" w:cs="Calibri"/>
          <w:sz w:val="22"/>
          <w:szCs w:val="22"/>
        </w:rPr>
        <w:t xml:space="preserve"> paper is linked to</w:t>
      </w:r>
      <w:r w:rsidRPr="00D31BEC">
        <w:rPr>
          <w:rFonts w:ascii="Calibri" w:hAnsi="Calibri" w:cs="Calibri" w:hint="eastAsia"/>
          <w:sz w:val="22"/>
          <w:szCs w:val="22"/>
        </w:rPr>
        <w:t xml:space="preserve">: </w:t>
      </w:r>
      <w:r w:rsidRPr="00D31BEC">
        <w:rPr>
          <w:rFonts w:ascii="Calibri" w:hAnsi="Calibri" w:cs="Calibri"/>
          <w:sz w:val="22"/>
          <w:szCs w:val="22"/>
        </w:rPr>
        <w:t>Research - Hiwa-</w:t>
      </w:r>
      <w:proofErr w:type="spellStart"/>
      <w:r w:rsidRPr="00D31BEC">
        <w:rPr>
          <w:rFonts w:ascii="Calibri" w:hAnsi="Calibri" w:cs="Calibri"/>
          <w:sz w:val="22"/>
          <w:szCs w:val="22"/>
        </w:rPr>
        <w:t>i</w:t>
      </w:r>
      <w:proofErr w:type="spellEnd"/>
      <w:r w:rsidRPr="00D31BEC">
        <w:rPr>
          <w:rFonts w:ascii="Calibri" w:hAnsi="Calibri" w:cs="Calibri"/>
          <w:sz w:val="22"/>
          <w:szCs w:val="22"/>
        </w:rPr>
        <w:t>-</w:t>
      </w:r>
      <w:proofErr w:type="spellStart"/>
      <w:r w:rsidRPr="00D31BEC">
        <w:rPr>
          <w:rFonts w:ascii="Calibri" w:hAnsi="Calibri" w:cs="Calibri"/>
          <w:sz w:val="22"/>
          <w:szCs w:val="22"/>
        </w:rPr>
        <w:t>te-rangi</w:t>
      </w:r>
      <w:proofErr w:type="spellEnd"/>
    </w:p>
    <w:p w14:paraId="2C93A3FB" w14:textId="7A4DBD2E" w:rsidR="002100E2" w:rsidRPr="00D31BEC" w:rsidRDefault="002100E2" w:rsidP="004E337B">
      <w:pPr>
        <w:spacing w:line="360" w:lineRule="auto"/>
        <w:jc w:val="both"/>
        <w:rPr>
          <w:rFonts w:ascii="Calibri" w:hAnsi="Calibri" w:cs="Calibri"/>
          <w:sz w:val="22"/>
          <w:szCs w:val="22"/>
        </w:rPr>
      </w:pPr>
      <w:r w:rsidRPr="00D31BEC">
        <w:rPr>
          <w:rFonts w:ascii="Calibri" w:hAnsi="Calibri" w:cs="Calibri"/>
          <w:sz w:val="22"/>
          <w:szCs w:val="22"/>
        </w:rPr>
        <w:t>Presentation language at the conference</w:t>
      </w:r>
      <w:r w:rsidRPr="00D31BEC">
        <w:rPr>
          <w:rFonts w:ascii="Calibri" w:hAnsi="Calibri" w:cs="Calibri" w:hint="eastAsia"/>
          <w:sz w:val="22"/>
          <w:szCs w:val="22"/>
        </w:rPr>
        <w:t>: English</w:t>
      </w:r>
    </w:p>
    <w:p w14:paraId="2668088D" w14:textId="1C908EF6" w:rsidR="002100E2" w:rsidRPr="00D31BEC" w:rsidRDefault="002100E2" w:rsidP="004E337B">
      <w:pPr>
        <w:spacing w:line="360" w:lineRule="auto"/>
        <w:jc w:val="both"/>
        <w:rPr>
          <w:rFonts w:ascii="Calibri" w:hAnsi="Calibri" w:cs="Calibri"/>
          <w:sz w:val="22"/>
          <w:szCs w:val="22"/>
        </w:rPr>
      </w:pPr>
      <w:r w:rsidRPr="00D31BEC">
        <w:rPr>
          <w:rFonts w:ascii="Calibri" w:hAnsi="Calibri" w:cs="Calibri"/>
          <w:sz w:val="22"/>
          <w:szCs w:val="22"/>
        </w:rPr>
        <w:t>Abstract</w:t>
      </w:r>
      <w:r w:rsidRPr="00D31BEC">
        <w:rPr>
          <w:rFonts w:ascii="Calibri" w:hAnsi="Calibri" w:cs="Calibri" w:hint="eastAsia"/>
          <w:sz w:val="22"/>
          <w:szCs w:val="22"/>
        </w:rPr>
        <w:t>:</w:t>
      </w:r>
    </w:p>
    <w:p w14:paraId="726B1C22" w14:textId="5C248C9A" w:rsidR="002100E2" w:rsidRDefault="00262DD0" w:rsidP="004E337B">
      <w:pPr>
        <w:spacing w:line="360" w:lineRule="auto"/>
        <w:jc w:val="both"/>
        <w:rPr>
          <w:rFonts w:ascii="Calibri" w:hAnsi="Calibri" w:cs="Calibri"/>
          <w:sz w:val="22"/>
          <w:szCs w:val="22"/>
        </w:rPr>
      </w:pPr>
      <w:r w:rsidRPr="00262DD0">
        <w:rPr>
          <w:rFonts w:ascii="Calibri" w:hAnsi="Calibri" w:cs="Calibri"/>
          <w:sz w:val="22"/>
          <w:szCs w:val="22"/>
        </w:rPr>
        <w:t xml:space="preserve">The rapid advancement of Industry 4.0 has created a significant "skill gap" between educational outputs and the industrial requirements. In response, the State of Ohio has implemented a systematic "translation" process under the federal Perkins V mandate to synchronize its educational infrastructure with industrial realities. This research utilizes Competency-Based Education (CBE) as an analytical lens to investigate the organizational and technical mechanisms of this translation within Ohio’s manufacturing </w:t>
      </w:r>
      <w:r w:rsidRPr="00262DD0">
        <w:rPr>
          <w:rFonts w:ascii="Calibri" w:hAnsi="Calibri" w:cs="Calibri"/>
          <w:sz w:val="22"/>
          <w:szCs w:val="22"/>
        </w:rPr>
        <w:t>sector. The</w:t>
      </w:r>
      <w:r w:rsidRPr="00262DD0">
        <w:rPr>
          <w:rFonts w:ascii="Calibri" w:hAnsi="Calibri" w:cs="Calibri"/>
          <w:sz w:val="22"/>
          <w:szCs w:val="22"/>
        </w:rPr>
        <w:t xml:space="preserve"> study identifies a sophisticated Multi-Level Governance Network as the structural foundation of this process. This network consists of the Ohio Department of Education and Workforce (ODEW), providing legal and fiscal scaffolding; the Ohio Manufacturers’ Association (OMA), acting as the strategic agent for "decomposition"; and the Career Pathway Support Networks (CPSN), serving as the primary agents for "operational </w:t>
      </w:r>
      <w:r w:rsidRPr="00262DD0">
        <w:rPr>
          <w:rFonts w:ascii="Calibri" w:hAnsi="Calibri" w:cs="Calibri"/>
          <w:sz w:val="22"/>
          <w:szCs w:val="22"/>
        </w:rPr>
        <w:lastRenderedPageBreak/>
        <w:t>and localized reconstruction". The OMA’s Manufacturing Competency Model facilitates the decomposition phase by disaggregating complex industrial roles into a six-tier hierarchy of Knowledge, Skills, and Abilities (KSAs). Crucially, this model maintains 100 percent alignment with state career pathway standards, ensuring that</w:t>
      </w:r>
      <w:r w:rsidR="00775DE2" w:rsidRPr="00775DE2">
        <w:t xml:space="preserve"> </w:t>
      </w:r>
      <w:r w:rsidR="00775DE2" w:rsidRPr="00775DE2">
        <w:rPr>
          <w:rFonts w:ascii="Calibri" w:hAnsi="Calibri" w:cs="Calibri"/>
          <w:sz w:val="22"/>
          <w:szCs w:val="22"/>
        </w:rPr>
        <w:t>these industry-derived competencies</w:t>
      </w:r>
      <w:r w:rsidR="00775DE2">
        <w:rPr>
          <w:rFonts w:ascii="Calibri" w:hAnsi="Calibri" w:cs="Calibri" w:hint="eastAsia"/>
          <w:sz w:val="22"/>
          <w:szCs w:val="22"/>
        </w:rPr>
        <w:t xml:space="preserve"> are</w:t>
      </w:r>
      <w:r w:rsidRPr="00262DD0">
        <w:rPr>
          <w:rFonts w:ascii="Calibri" w:hAnsi="Calibri" w:cs="Calibri"/>
          <w:sz w:val="22"/>
          <w:szCs w:val="22"/>
        </w:rPr>
        <w:t xml:space="preserve"> inherently compatible with educational </w:t>
      </w:r>
      <w:r w:rsidRPr="00262DD0">
        <w:rPr>
          <w:rFonts w:ascii="Calibri" w:hAnsi="Calibri" w:cs="Calibri"/>
          <w:sz w:val="22"/>
          <w:szCs w:val="22"/>
        </w:rPr>
        <w:t>requirements. The</w:t>
      </w:r>
      <w:r w:rsidRPr="00262DD0">
        <w:rPr>
          <w:rFonts w:ascii="Calibri" w:hAnsi="Calibri" w:cs="Calibri"/>
          <w:sz w:val="22"/>
          <w:szCs w:val="22"/>
        </w:rPr>
        <w:t xml:space="preserve"> core technical mechanism facilitating this alignment is the Curriculum Assessment Tool. Serving as a cross-sectoral interface, the tool allows individual </w:t>
      </w:r>
      <w:r w:rsidRPr="00262DD0">
        <w:rPr>
          <w:rFonts w:ascii="Calibri" w:hAnsi="Calibri" w:cs="Calibri"/>
          <w:sz w:val="22"/>
          <w:szCs w:val="22"/>
        </w:rPr>
        <w:t>schools and</w:t>
      </w:r>
      <w:r w:rsidRPr="00262DD0">
        <w:rPr>
          <w:rFonts w:ascii="Calibri" w:hAnsi="Calibri" w:cs="Calibri"/>
          <w:sz w:val="22"/>
          <w:szCs w:val="22"/>
        </w:rPr>
        <w:t xml:space="preserve"> the CPSN team that </w:t>
      </w:r>
      <w:r w:rsidR="00E43A52" w:rsidRPr="00262DD0">
        <w:rPr>
          <w:rFonts w:ascii="Calibri" w:hAnsi="Calibri" w:cs="Calibri"/>
          <w:sz w:val="22"/>
          <w:szCs w:val="22"/>
        </w:rPr>
        <w:t>support</w:t>
      </w:r>
      <w:r w:rsidRPr="00262DD0">
        <w:rPr>
          <w:rFonts w:ascii="Calibri" w:hAnsi="Calibri" w:cs="Calibri"/>
          <w:sz w:val="22"/>
          <w:szCs w:val="22"/>
        </w:rPr>
        <w:t xml:space="preserve"> them to perform the act of reconstruction by mapping existing curricula against decomposed competencies. This process achieves a "</w:t>
      </w:r>
      <w:r w:rsidRPr="00262DD0">
        <w:rPr>
          <w:rFonts w:ascii="Calibri" w:hAnsi="Calibri" w:cs="Calibri"/>
          <w:sz w:val="22"/>
          <w:szCs w:val="22"/>
        </w:rPr>
        <w:t>dual alignment</w:t>
      </w:r>
      <w:r w:rsidRPr="00262DD0">
        <w:rPr>
          <w:rFonts w:ascii="Calibri" w:hAnsi="Calibri" w:cs="Calibri"/>
          <w:sz w:val="22"/>
          <w:szCs w:val="22"/>
        </w:rPr>
        <w:t xml:space="preserve">" that simultaneously satisfies industrial needs and ensures institutional compliance </w:t>
      </w:r>
      <w:r w:rsidRPr="00262DD0">
        <w:rPr>
          <w:rFonts w:ascii="Calibri" w:hAnsi="Calibri" w:cs="Calibri"/>
          <w:sz w:val="22"/>
          <w:szCs w:val="22"/>
        </w:rPr>
        <w:t>with</w:t>
      </w:r>
      <w:r w:rsidRPr="00262DD0">
        <w:rPr>
          <w:rFonts w:ascii="Calibri" w:hAnsi="Calibri" w:cs="Calibri"/>
          <w:sz w:val="22"/>
          <w:szCs w:val="22"/>
        </w:rPr>
        <w:t xml:space="preserve"> federal funding. Furthermore, the operational fidelity of the translated content is validated by local Business Advisory Councils (BACs) and supported by "Industry Ambassadors," ensuring that classroom instruction remains a high-fidelity reflection of the contemporary manufacturing </w:t>
      </w:r>
      <w:r w:rsidRPr="00262DD0">
        <w:rPr>
          <w:rFonts w:ascii="Calibri" w:hAnsi="Calibri" w:cs="Calibri"/>
          <w:sz w:val="22"/>
          <w:szCs w:val="22"/>
        </w:rPr>
        <w:t>environment. Ultimately</w:t>
      </w:r>
      <w:r w:rsidRPr="00262DD0">
        <w:rPr>
          <w:rFonts w:ascii="Calibri" w:hAnsi="Calibri" w:cs="Calibri"/>
          <w:sz w:val="22"/>
          <w:szCs w:val="22"/>
        </w:rPr>
        <w:t>, the Ohio model offers a scalable blueprint for industrial-educational alignment. By formalizing the translation process through rigid task-analysis and state-certified mapping tools, Ohio has created a system that effectively bridges the communication divide between the workplace and the classroom.</w:t>
      </w:r>
    </w:p>
    <w:p w14:paraId="7096361F" w14:textId="70B6C99E" w:rsidR="002100E2" w:rsidRPr="00D31BEC" w:rsidRDefault="002100E2" w:rsidP="004E337B">
      <w:pPr>
        <w:spacing w:line="360" w:lineRule="auto"/>
        <w:jc w:val="both"/>
        <w:rPr>
          <w:rFonts w:ascii="Calibri" w:hAnsi="Calibri" w:cs="Calibri" w:hint="eastAsia"/>
          <w:sz w:val="22"/>
          <w:szCs w:val="22"/>
        </w:rPr>
      </w:pPr>
      <w:r w:rsidRPr="00D31BEC">
        <w:rPr>
          <w:rFonts w:ascii="Calibri" w:hAnsi="Calibri" w:cs="Calibri"/>
          <w:sz w:val="22"/>
          <w:szCs w:val="22"/>
        </w:rPr>
        <w:t>Keywords:</w:t>
      </w:r>
      <w:r w:rsidRPr="00D31BEC">
        <w:rPr>
          <w:rFonts w:ascii="Calibri" w:hAnsi="Calibri" w:cs="Calibri" w:hint="eastAsia"/>
          <w:sz w:val="22"/>
          <w:szCs w:val="22"/>
        </w:rPr>
        <w:t xml:space="preserve"> </w:t>
      </w:r>
      <w:r w:rsidR="00E43A52" w:rsidRPr="00E43A52">
        <w:rPr>
          <w:rFonts w:ascii="Calibri" w:hAnsi="Calibri" w:cs="Calibri"/>
          <w:sz w:val="22"/>
          <w:szCs w:val="22"/>
        </w:rPr>
        <w:t>Career</w:t>
      </w:r>
      <w:r w:rsidR="00E43A52">
        <w:rPr>
          <w:rFonts w:ascii="Calibri" w:hAnsi="Calibri" w:cs="Calibri" w:hint="eastAsia"/>
          <w:sz w:val="22"/>
          <w:szCs w:val="22"/>
        </w:rPr>
        <w:t xml:space="preserve"> and </w:t>
      </w:r>
      <w:r w:rsidR="00E43A52" w:rsidRPr="00E43A52">
        <w:rPr>
          <w:rFonts w:ascii="Calibri" w:hAnsi="Calibri" w:cs="Calibri"/>
          <w:sz w:val="22"/>
          <w:szCs w:val="22"/>
        </w:rPr>
        <w:t>Technical Education</w:t>
      </w:r>
      <w:r w:rsidR="00ED59C8" w:rsidRPr="00ED59C8">
        <w:t xml:space="preserve"> </w:t>
      </w:r>
      <w:r w:rsidR="00ED59C8" w:rsidRPr="00ED59C8">
        <w:rPr>
          <w:rFonts w:ascii="Calibri" w:hAnsi="Calibri" w:cs="Calibri"/>
          <w:sz w:val="22"/>
          <w:szCs w:val="22"/>
        </w:rPr>
        <w:t>(CTE) in the U.S.</w:t>
      </w:r>
      <w:r w:rsidR="00E43A52">
        <w:rPr>
          <w:rFonts w:ascii="Calibri" w:hAnsi="Calibri" w:cs="Calibri" w:hint="eastAsia"/>
          <w:sz w:val="22"/>
          <w:szCs w:val="22"/>
        </w:rPr>
        <w:t xml:space="preserve">, </w:t>
      </w:r>
      <w:r w:rsidR="00ED59C8" w:rsidRPr="00ED59C8">
        <w:rPr>
          <w:rFonts w:ascii="Calibri" w:hAnsi="Calibri" w:cs="Calibri"/>
          <w:sz w:val="22"/>
          <w:szCs w:val="22"/>
        </w:rPr>
        <w:t>Manufacturing</w:t>
      </w:r>
      <w:r w:rsidR="00ED59C8">
        <w:rPr>
          <w:rFonts w:ascii="Calibri" w:hAnsi="Calibri" w:cs="Calibri" w:hint="eastAsia"/>
          <w:sz w:val="22"/>
          <w:szCs w:val="22"/>
        </w:rPr>
        <w:t>,</w:t>
      </w:r>
      <w:r w:rsidR="00ED59C8" w:rsidRPr="00ED59C8">
        <w:rPr>
          <w:rFonts w:ascii="Calibri" w:hAnsi="Calibri" w:cs="Calibri"/>
          <w:sz w:val="22"/>
          <w:szCs w:val="22"/>
        </w:rPr>
        <w:t xml:space="preserve"> </w:t>
      </w:r>
      <w:r w:rsidR="00ED59C8" w:rsidRPr="00ED59C8">
        <w:rPr>
          <w:rFonts w:ascii="Calibri" w:hAnsi="Calibri" w:cs="Calibri"/>
          <w:sz w:val="22"/>
          <w:szCs w:val="22"/>
        </w:rPr>
        <w:t>Competency-Based Education</w:t>
      </w:r>
      <w:r w:rsidR="00ED59C8">
        <w:rPr>
          <w:rFonts w:ascii="Calibri" w:hAnsi="Calibri" w:cs="Calibri" w:hint="eastAsia"/>
          <w:sz w:val="22"/>
          <w:szCs w:val="22"/>
        </w:rPr>
        <w:t>,</w:t>
      </w:r>
      <w:r w:rsidR="00ED59C8" w:rsidRPr="00ED59C8">
        <w:rPr>
          <w:rFonts w:ascii="Calibri" w:hAnsi="Calibri" w:cs="Calibri"/>
          <w:sz w:val="22"/>
          <w:szCs w:val="22"/>
        </w:rPr>
        <w:t xml:space="preserve"> </w:t>
      </w:r>
      <w:r w:rsidR="00E43A52" w:rsidRPr="00E43A52">
        <w:rPr>
          <w:rFonts w:ascii="Calibri" w:hAnsi="Calibri" w:cs="Calibri"/>
          <w:sz w:val="22"/>
          <w:szCs w:val="22"/>
        </w:rPr>
        <w:t>Industry-Education Alignment</w:t>
      </w:r>
      <w:r w:rsidR="00E43A52">
        <w:rPr>
          <w:rFonts w:ascii="Calibri" w:hAnsi="Calibri" w:cs="Calibri" w:hint="eastAsia"/>
          <w:sz w:val="22"/>
          <w:szCs w:val="22"/>
        </w:rPr>
        <w:t xml:space="preserve">, </w:t>
      </w:r>
      <w:r w:rsidR="00E43A52" w:rsidRPr="00E43A52">
        <w:rPr>
          <w:rFonts w:ascii="Calibri" w:hAnsi="Calibri" w:cs="Calibri"/>
          <w:sz w:val="22"/>
          <w:szCs w:val="22"/>
        </w:rPr>
        <w:t>Multi-Level Governance</w:t>
      </w:r>
    </w:p>
    <w:p w14:paraId="20F72A78" w14:textId="77777777" w:rsidR="002100E2" w:rsidRPr="00ED59C8" w:rsidRDefault="002100E2" w:rsidP="004E337B">
      <w:pPr>
        <w:spacing w:line="360" w:lineRule="auto"/>
        <w:jc w:val="both"/>
        <w:rPr>
          <w:rFonts w:ascii="Calibri" w:hAnsi="Calibri" w:cs="Calibri"/>
          <w:sz w:val="22"/>
          <w:szCs w:val="22"/>
        </w:rPr>
      </w:pPr>
    </w:p>
    <w:p w14:paraId="5674EC0E" w14:textId="06840582" w:rsidR="002100E2" w:rsidRPr="00D31BEC" w:rsidRDefault="00D31BEC" w:rsidP="004E337B">
      <w:pPr>
        <w:spacing w:line="360" w:lineRule="auto"/>
        <w:jc w:val="both"/>
        <w:rPr>
          <w:rFonts w:ascii="Calibri" w:hAnsi="Calibri" w:cs="Calibri"/>
          <w:b/>
          <w:bCs/>
          <w:sz w:val="22"/>
          <w:szCs w:val="22"/>
        </w:rPr>
      </w:pPr>
      <w:r w:rsidRPr="00D31BEC">
        <w:rPr>
          <w:rFonts w:ascii="Calibri" w:hAnsi="Calibri" w:cs="Calibri" w:hint="eastAsia"/>
          <w:b/>
          <w:bCs/>
          <w:sz w:val="22"/>
          <w:szCs w:val="22"/>
        </w:rPr>
        <w:t>P</w:t>
      </w:r>
      <w:r w:rsidRPr="00D31BEC">
        <w:rPr>
          <w:rFonts w:ascii="Calibri" w:hAnsi="Calibri" w:cs="Calibri"/>
          <w:b/>
          <w:bCs/>
          <w:sz w:val="22"/>
          <w:szCs w:val="22"/>
        </w:rPr>
        <w:t>roposal</w:t>
      </w:r>
    </w:p>
    <w:p w14:paraId="6A65453F" w14:textId="77777777" w:rsidR="005D6813" w:rsidRPr="00D31BEC" w:rsidRDefault="005D6813" w:rsidP="004E337B">
      <w:pPr>
        <w:spacing w:line="360" w:lineRule="auto"/>
        <w:jc w:val="both"/>
        <w:rPr>
          <w:rFonts w:ascii="Calibri" w:hAnsi="Calibri" w:cs="Calibri"/>
          <w:sz w:val="22"/>
          <w:szCs w:val="22"/>
        </w:rPr>
      </w:pPr>
      <w:r w:rsidRPr="00D31BEC">
        <w:rPr>
          <w:rFonts w:ascii="Calibri" w:hAnsi="Calibri" w:cs="Calibri"/>
          <w:sz w:val="22"/>
          <w:szCs w:val="22"/>
        </w:rPr>
        <w:t>1. Introduction</w:t>
      </w:r>
    </w:p>
    <w:p w14:paraId="4A1E7F9E" w14:textId="77777777" w:rsidR="005D6813" w:rsidRPr="004E337B" w:rsidRDefault="005D6813" w:rsidP="004E337B">
      <w:pPr>
        <w:spacing w:line="360" w:lineRule="auto"/>
        <w:jc w:val="both"/>
        <w:rPr>
          <w:rFonts w:ascii="Calibri" w:hAnsi="Calibri" w:cs="Calibri"/>
          <w:sz w:val="22"/>
          <w:szCs w:val="22"/>
        </w:rPr>
      </w:pPr>
      <w:r w:rsidRPr="004E337B">
        <w:rPr>
          <w:rFonts w:ascii="Calibri" w:hAnsi="Calibri" w:cs="Calibri"/>
          <w:sz w:val="22"/>
          <w:szCs w:val="22"/>
        </w:rPr>
        <w:t xml:space="preserve">The rapid advancement of Industry 4.0—characterized by automation, the Internet of Things (IoT), and artificial intelligence—has fundamentally reshaped the manufacturing landscape, demanding a workforce equipped with ever-evolving technical skills and "soft" competencies. </w:t>
      </w:r>
      <w:r w:rsidRPr="004E337B">
        <w:rPr>
          <w:rFonts w:ascii="Calibri" w:hAnsi="Calibri" w:cs="Calibri"/>
          <w:sz w:val="22"/>
          <w:szCs w:val="22"/>
        </w:rPr>
        <w:lastRenderedPageBreak/>
        <w:t>However, a persistent global challenge remains: the widening "skill gap" between educational outputs and industrial requirements. As labor markets become increasingly specialized, traditional education models, which often update curricula in slow, multi-year cycles, struggle to keep pace with the real-time shifts in occupational tasks.</w:t>
      </w:r>
    </w:p>
    <w:p w14:paraId="58E9058A" w14:textId="1BAB7C62" w:rsidR="005D6813" w:rsidRPr="004E337B" w:rsidRDefault="005D6813" w:rsidP="004E337B">
      <w:pPr>
        <w:spacing w:line="360" w:lineRule="auto"/>
        <w:jc w:val="both"/>
        <w:rPr>
          <w:rFonts w:ascii="Calibri" w:hAnsi="Calibri" w:cs="Calibri"/>
          <w:sz w:val="22"/>
          <w:szCs w:val="22"/>
        </w:rPr>
      </w:pPr>
      <w:r w:rsidRPr="004E337B">
        <w:rPr>
          <w:rFonts w:ascii="Calibri" w:hAnsi="Calibri" w:cs="Calibri"/>
          <w:sz w:val="22"/>
          <w:szCs w:val="22"/>
        </w:rPr>
        <w:t>In the United States, the federal government addressed this urgency through the Strengthening Career and Technical Education for the 21st Century Act of 2018, commonly referred to as Perkins V. This landmark legislation provides the primary federal investment in Career</w:t>
      </w:r>
      <w:r w:rsidR="00E43A52">
        <w:rPr>
          <w:rFonts w:ascii="Calibri" w:hAnsi="Calibri" w:cs="Calibri" w:hint="eastAsia"/>
          <w:sz w:val="22"/>
          <w:szCs w:val="22"/>
        </w:rPr>
        <w:t xml:space="preserve"> and </w:t>
      </w:r>
      <w:r w:rsidRPr="004E337B">
        <w:rPr>
          <w:rFonts w:ascii="Calibri" w:hAnsi="Calibri" w:cs="Calibri"/>
          <w:sz w:val="22"/>
          <w:szCs w:val="22"/>
        </w:rPr>
        <w:t>Technical Education (CTE). To secure and utilize these federal funds, the State of Ohio developed the Ohio Perkins V State Plan, a strategic roadmap designed to align the state’s educational infrastructure with the economic realities of the modern era.</w:t>
      </w:r>
    </w:p>
    <w:p w14:paraId="0538014D" w14:textId="7E5C727A" w:rsidR="005D6813" w:rsidRPr="004E337B" w:rsidRDefault="005D6813" w:rsidP="004E337B">
      <w:pPr>
        <w:spacing w:line="360" w:lineRule="auto"/>
        <w:jc w:val="both"/>
        <w:rPr>
          <w:rFonts w:ascii="Calibri" w:hAnsi="Calibri" w:cs="Calibri"/>
          <w:sz w:val="22"/>
          <w:szCs w:val="22"/>
        </w:rPr>
      </w:pPr>
      <w:r w:rsidRPr="004E337B">
        <w:rPr>
          <w:rFonts w:ascii="Calibri" w:hAnsi="Calibri" w:cs="Calibri"/>
          <w:sz w:val="22"/>
          <w:szCs w:val="22"/>
        </w:rPr>
        <w:t>The economic necessity driving this plan is stark. According to data from the Georgetown University Center on Education and the Workforce cited in the state plan, 64 percent of jobs in Ohio will require some form of postsecondary education or high-value credentials by 2020. Despite this requirement, analysis from the Lumina Foundation reveals a significant shortfall: only 44.6 percent of working-age adults in Ohio currently possess postsecondary certificates or degrees. To bridge this gap and meet the talent needs of businesses, Ohio’s strategy aims for an ambitious goal: ensuring that 65 percent of Ohioans aged 25-64 earn a degree, certificate, or other postsecondary credential of value by 2025. This requires adding roughly one million more credentialed workers to the state's talent pipeline</w:t>
      </w:r>
      <w:r w:rsidR="00ED59C8">
        <w:rPr>
          <w:rFonts w:ascii="Calibri" w:hAnsi="Calibri" w:cs="Calibri" w:hint="eastAsia"/>
          <w:sz w:val="22"/>
          <w:szCs w:val="22"/>
        </w:rPr>
        <w:t xml:space="preserve"> (ODEW 2024)</w:t>
      </w:r>
      <w:r w:rsidRPr="004E337B">
        <w:rPr>
          <w:rFonts w:ascii="Calibri" w:hAnsi="Calibri" w:cs="Calibri"/>
          <w:sz w:val="22"/>
          <w:szCs w:val="22"/>
        </w:rPr>
        <w:t>.</w:t>
      </w:r>
    </w:p>
    <w:p w14:paraId="3ECC6723" w14:textId="77777777" w:rsidR="005D6813" w:rsidRPr="004E337B" w:rsidRDefault="005D6813" w:rsidP="004E337B">
      <w:pPr>
        <w:spacing w:line="360" w:lineRule="auto"/>
        <w:jc w:val="both"/>
        <w:rPr>
          <w:rFonts w:ascii="Calibri" w:hAnsi="Calibri" w:cs="Calibri"/>
          <w:sz w:val="22"/>
          <w:szCs w:val="22"/>
        </w:rPr>
      </w:pPr>
      <w:r w:rsidRPr="004E337B">
        <w:rPr>
          <w:rFonts w:ascii="Calibri" w:hAnsi="Calibri" w:cs="Calibri"/>
          <w:sz w:val="22"/>
          <w:szCs w:val="22"/>
        </w:rPr>
        <w:t>A critical component of this strategy is the emphasis on Industry-Recognized Credentials (IRCs). Under Perkins V, IRC attainment serves as a primary performance indicator for accountability. Schools are not merely judged by graduation rates but by their ability to produce students who hold certifications that the industry explicitly values and recognizes.</w:t>
      </w:r>
    </w:p>
    <w:p w14:paraId="111CF82C" w14:textId="2E9BFDF8" w:rsidR="005D6813" w:rsidRPr="004E337B" w:rsidRDefault="005D6813" w:rsidP="004E337B">
      <w:pPr>
        <w:spacing w:line="360" w:lineRule="auto"/>
        <w:jc w:val="both"/>
        <w:rPr>
          <w:rFonts w:ascii="Calibri" w:hAnsi="Calibri" w:cs="Calibri"/>
          <w:sz w:val="22"/>
          <w:szCs w:val="22"/>
        </w:rPr>
      </w:pPr>
      <w:r w:rsidRPr="004E337B">
        <w:rPr>
          <w:rFonts w:ascii="Calibri" w:hAnsi="Calibri" w:cs="Calibri"/>
          <w:sz w:val="22"/>
          <w:szCs w:val="22"/>
        </w:rPr>
        <w:lastRenderedPageBreak/>
        <w:t>This institutional and economic environment necessitates a sophisticated mechanism of "translation"—the process by which abstract industrial needs and specific workplace tasks are converted into standardized educational training and measurable IRCs. This translation is not a localized or accidental effort; it is a systematic response to the mandates of Perkins V. Focusing on the manufacturing sector, this paper investigates the organizational and technical processes of this translation, examining how Ohio synchronizes state-level governance with industry-led competency frameworks to ensure that the "one million more" workers are trained for the actual tasks of tomorrow.</w:t>
      </w:r>
    </w:p>
    <w:p w14:paraId="2B6F5CA4" w14:textId="77777777" w:rsidR="005D6813" w:rsidRPr="004E337B" w:rsidRDefault="005D6813" w:rsidP="004E337B">
      <w:pPr>
        <w:spacing w:line="360" w:lineRule="auto"/>
        <w:jc w:val="both"/>
        <w:rPr>
          <w:rFonts w:ascii="Calibri" w:hAnsi="Calibri" w:cs="Calibri"/>
          <w:sz w:val="22"/>
          <w:szCs w:val="22"/>
        </w:rPr>
      </w:pPr>
    </w:p>
    <w:p w14:paraId="762CEADF" w14:textId="77777777" w:rsidR="00B83FD2" w:rsidRPr="00B83FD2" w:rsidRDefault="00B83FD2" w:rsidP="00B83FD2">
      <w:pPr>
        <w:spacing w:line="360" w:lineRule="auto"/>
        <w:jc w:val="both"/>
        <w:rPr>
          <w:rFonts w:ascii="Calibri" w:hAnsi="Calibri" w:cs="Calibri"/>
          <w:sz w:val="22"/>
          <w:szCs w:val="22"/>
        </w:rPr>
      </w:pPr>
      <w:r w:rsidRPr="00B83FD2">
        <w:rPr>
          <w:rFonts w:ascii="Calibri" w:hAnsi="Calibri" w:cs="Calibri"/>
          <w:sz w:val="22"/>
          <w:szCs w:val="22"/>
        </w:rPr>
        <w:t>2. Objectives</w:t>
      </w:r>
    </w:p>
    <w:p w14:paraId="33F75362" w14:textId="481F37FF" w:rsidR="005D6813" w:rsidRPr="004E337B" w:rsidRDefault="00B83FD2" w:rsidP="00B83FD2">
      <w:pPr>
        <w:spacing w:line="360" w:lineRule="auto"/>
        <w:jc w:val="both"/>
        <w:rPr>
          <w:rFonts w:ascii="Calibri" w:hAnsi="Calibri" w:cs="Calibri"/>
          <w:sz w:val="22"/>
          <w:szCs w:val="22"/>
        </w:rPr>
      </w:pPr>
      <w:r w:rsidRPr="00B83FD2">
        <w:rPr>
          <w:rFonts w:ascii="Calibri" w:hAnsi="Calibri" w:cs="Calibri"/>
          <w:sz w:val="22"/>
          <w:szCs w:val="22"/>
        </w:rPr>
        <w:t>The primary objective of this research is to analyze the collaborative curriculum design process within Ohio’s CTE system, specifically utilizing the manufacturing sector as a representative case study. Manufacturing is prioritized due to its status as a critical pillar of Ohio’s economy and the acute workforce challenges it faces, with over 74 percent of employers reporting significant difficulties in talent acquisition</w:t>
      </w:r>
      <w:r w:rsidR="00ED59C8">
        <w:rPr>
          <w:rFonts w:ascii="Calibri" w:hAnsi="Calibri" w:cs="Calibri" w:hint="eastAsia"/>
          <w:sz w:val="22"/>
          <w:szCs w:val="22"/>
        </w:rPr>
        <w:t xml:space="preserve"> (OMA 2024)</w:t>
      </w:r>
      <w:r w:rsidRPr="00B83FD2">
        <w:rPr>
          <w:rFonts w:ascii="Calibri" w:hAnsi="Calibri" w:cs="Calibri"/>
          <w:sz w:val="22"/>
          <w:szCs w:val="22"/>
        </w:rPr>
        <w:t xml:space="preserve">. Consequently, this sector has developed a highly sophisticated "translation" mechanism led by the Ohio Manufacturers’ Association (OMA). It serves as a paradigmatic case for this study because its industry-led competency model has achieved a total, 100 percent alignment with state </w:t>
      </w:r>
      <w:r>
        <w:rPr>
          <w:rFonts w:ascii="Calibri" w:hAnsi="Calibri" w:cs="Calibri" w:hint="eastAsia"/>
          <w:sz w:val="22"/>
          <w:szCs w:val="22"/>
        </w:rPr>
        <w:t xml:space="preserve">career pathway </w:t>
      </w:r>
      <w:r w:rsidRPr="00B83FD2">
        <w:rPr>
          <w:rFonts w:ascii="Calibri" w:hAnsi="Calibri" w:cs="Calibri"/>
          <w:sz w:val="22"/>
          <w:szCs w:val="22"/>
        </w:rPr>
        <w:t>standards. By examining this exemplary framework, the study seeks to identify the key actors in the governance network and evaluate the technical tools, such as the Curriculum Assessment Tool, that facilitate the seamless integration of industrial requirements into state-approved program frameworks, ensuring both economic relevance and institutional compliance.</w:t>
      </w:r>
    </w:p>
    <w:p w14:paraId="5CF73034" w14:textId="77777777" w:rsidR="005D6813" w:rsidRPr="004E337B" w:rsidRDefault="005D6813" w:rsidP="004E337B">
      <w:pPr>
        <w:spacing w:line="360" w:lineRule="auto"/>
        <w:jc w:val="both"/>
        <w:rPr>
          <w:rFonts w:ascii="Calibri" w:hAnsi="Calibri" w:cs="Calibri"/>
          <w:sz w:val="22"/>
          <w:szCs w:val="22"/>
        </w:rPr>
      </w:pPr>
    </w:p>
    <w:p w14:paraId="163E13B4" w14:textId="77777777" w:rsidR="00DA3F32" w:rsidRPr="00DA3F32" w:rsidRDefault="00DA3F32" w:rsidP="00DA3F32">
      <w:pPr>
        <w:spacing w:line="360" w:lineRule="auto"/>
        <w:jc w:val="both"/>
        <w:rPr>
          <w:rFonts w:ascii="Calibri" w:hAnsi="Calibri" w:cs="Calibri"/>
          <w:sz w:val="22"/>
          <w:szCs w:val="22"/>
        </w:rPr>
      </w:pPr>
      <w:r w:rsidRPr="00DA3F32">
        <w:rPr>
          <w:rFonts w:ascii="Calibri" w:hAnsi="Calibri" w:cs="Calibri"/>
          <w:sz w:val="22"/>
          <w:szCs w:val="22"/>
        </w:rPr>
        <w:t>3. Theoretical Basis</w:t>
      </w:r>
    </w:p>
    <w:p w14:paraId="6686AF10" w14:textId="3BB82397" w:rsidR="00DA3F32" w:rsidRPr="00DA3F32" w:rsidRDefault="00DA3F32" w:rsidP="00DA3F32">
      <w:pPr>
        <w:spacing w:line="360" w:lineRule="auto"/>
        <w:jc w:val="both"/>
        <w:rPr>
          <w:rFonts w:ascii="Calibri" w:hAnsi="Calibri" w:cs="Calibri"/>
          <w:sz w:val="22"/>
          <w:szCs w:val="22"/>
        </w:rPr>
      </w:pPr>
      <w:r w:rsidRPr="00DA3F32">
        <w:rPr>
          <w:rFonts w:ascii="Calibri" w:hAnsi="Calibri" w:cs="Calibri"/>
          <w:sz w:val="22"/>
          <w:szCs w:val="22"/>
        </w:rPr>
        <w:lastRenderedPageBreak/>
        <w:t>The theoretical foundation of this study is grounded in Competency-Based Education (CBE) and the historical tradition of "rigid task-analysis" fostered at the Ohio State University (OSU). For decades, OSU has served as a global epicenter for DACUM (Developing A Curriculum) and CBE research, advocating for a methodology where educational content is strictly derived from verified workplace tasks. This study positions the Ohio Manufacturing Competency Model, spearheaded by the</w:t>
      </w:r>
      <w:r>
        <w:rPr>
          <w:rFonts w:ascii="Calibri" w:hAnsi="Calibri" w:cs="Calibri" w:hint="eastAsia"/>
          <w:sz w:val="22"/>
          <w:szCs w:val="22"/>
        </w:rPr>
        <w:t xml:space="preserve"> </w:t>
      </w:r>
      <w:r w:rsidR="00B96996" w:rsidRPr="00B96996">
        <w:rPr>
          <w:rFonts w:ascii="Calibri" w:hAnsi="Calibri" w:cs="Calibri"/>
          <w:sz w:val="22"/>
          <w:szCs w:val="22"/>
        </w:rPr>
        <w:t xml:space="preserve">Ohio Manufacturers’ Association </w:t>
      </w:r>
      <w:r w:rsidR="00B96996">
        <w:rPr>
          <w:rFonts w:ascii="Calibri" w:hAnsi="Calibri" w:cs="Calibri" w:hint="eastAsia"/>
          <w:sz w:val="22"/>
          <w:szCs w:val="22"/>
        </w:rPr>
        <w:t>(</w:t>
      </w:r>
      <w:r>
        <w:rPr>
          <w:rFonts w:ascii="Calibri" w:hAnsi="Calibri" w:cs="Calibri" w:hint="eastAsia"/>
          <w:sz w:val="22"/>
          <w:szCs w:val="22"/>
        </w:rPr>
        <w:t>OMA</w:t>
      </w:r>
      <w:r w:rsidR="00B96996">
        <w:rPr>
          <w:rFonts w:ascii="Calibri" w:hAnsi="Calibri" w:cs="Calibri" w:hint="eastAsia"/>
          <w:sz w:val="22"/>
          <w:szCs w:val="22"/>
        </w:rPr>
        <w:t>)</w:t>
      </w:r>
      <w:r w:rsidRPr="00DA3F32">
        <w:rPr>
          <w:rFonts w:ascii="Calibri" w:hAnsi="Calibri" w:cs="Calibri"/>
          <w:sz w:val="22"/>
          <w:szCs w:val="22"/>
        </w:rPr>
        <w:t>, as a contemporary, industry-led evolution of this tradition. By building upon OSU’s legacy, the OMA framework synchronizes rigorous occupational standards across the state, providing a modernized platform for industrial-educational alignment.</w:t>
      </w:r>
    </w:p>
    <w:p w14:paraId="79338714" w14:textId="3723B27D" w:rsidR="005D6813" w:rsidRPr="004E337B" w:rsidRDefault="00DA3F32" w:rsidP="00DA3F32">
      <w:pPr>
        <w:spacing w:line="360" w:lineRule="auto"/>
        <w:jc w:val="both"/>
        <w:rPr>
          <w:rFonts w:ascii="Calibri" w:hAnsi="Calibri" w:cs="Calibri"/>
          <w:sz w:val="22"/>
          <w:szCs w:val="22"/>
        </w:rPr>
      </w:pPr>
      <w:r w:rsidRPr="00DA3F32">
        <w:rPr>
          <w:rFonts w:ascii="Calibri" w:hAnsi="Calibri" w:cs="Calibri"/>
          <w:sz w:val="22"/>
          <w:szCs w:val="22"/>
        </w:rPr>
        <w:t>In this research, CBE is utilized as the primary analytical lens to investigate the process of "translating" occupational tasks into educational training. This translation is analyzed through the dual CBE processes of decomposition and reconstruction. The decomposition phase scrutinizes how complex industrial roles are disaggregated into granular Knowledge, Skills, and Abilities (KSAs), allowing for an evaluation of the model’s structural fidelity in capturing real-world technical requirements. Conversely, the reconstruction phase examines how these isolated competencies are reassembled and mapped onto formal educational frameworks. By analyzing the Curriculum Assessment Tool, the study explores how decomposed KSAs are systematically integrated into the Ohio Department of Education and Workforce (ODEW) program requirements. Ultimately, this dual-process framework provides a systematic methodology to deconstruct the "translation" mechanism, ensuring that classroom instruction remains a high-fidelity reflection of the contemporary manufacturing sector.</w:t>
      </w:r>
    </w:p>
    <w:p w14:paraId="3A420DDD" w14:textId="77777777" w:rsidR="005D6813" w:rsidRPr="004E337B" w:rsidRDefault="005D6813" w:rsidP="004E337B">
      <w:pPr>
        <w:spacing w:line="360" w:lineRule="auto"/>
        <w:jc w:val="both"/>
        <w:rPr>
          <w:rFonts w:ascii="Calibri" w:hAnsi="Calibri" w:cs="Calibri"/>
          <w:sz w:val="22"/>
          <w:szCs w:val="22"/>
        </w:rPr>
      </w:pPr>
    </w:p>
    <w:p w14:paraId="10A387C8" w14:textId="77777777" w:rsidR="00B96996" w:rsidRPr="00B96996" w:rsidRDefault="00B96996" w:rsidP="00B96996">
      <w:pPr>
        <w:spacing w:line="360" w:lineRule="auto"/>
        <w:jc w:val="both"/>
        <w:rPr>
          <w:rFonts w:ascii="Calibri" w:hAnsi="Calibri" w:cs="Calibri"/>
          <w:sz w:val="22"/>
          <w:szCs w:val="22"/>
        </w:rPr>
      </w:pPr>
      <w:r w:rsidRPr="00B96996">
        <w:rPr>
          <w:rFonts w:ascii="Calibri" w:hAnsi="Calibri" w:cs="Calibri"/>
          <w:sz w:val="22"/>
          <w:szCs w:val="22"/>
        </w:rPr>
        <w:t>4. Methodology</w:t>
      </w:r>
    </w:p>
    <w:p w14:paraId="6C9CC345" w14:textId="77777777" w:rsidR="00B96996" w:rsidRPr="00B96996" w:rsidRDefault="00B96996" w:rsidP="00B96996">
      <w:pPr>
        <w:spacing w:line="360" w:lineRule="auto"/>
        <w:jc w:val="both"/>
        <w:rPr>
          <w:rFonts w:ascii="Calibri" w:hAnsi="Calibri" w:cs="Calibri"/>
          <w:sz w:val="22"/>
          <w:szCs w:val="22"/>
        </w:rPr>
      </w:pPr>
      <w:r w:rsidRPr="00B96996">
        <w:rPr>
          <w:rFonts w:ascii="Calibri" w:hAnsi="Calibri" w:cs="Calibri"/>
          <w:sz w:val="22"/>
          <w:szCs w:val="22"/>
        </w:rPr>
        <w:lastRenderedPageBreak/>
        <w:t>This research employs a qualitative case study approach to investigate the mechanisms of translating occupational tasks into educational training within Ohio’s manufacturing sector. The research design integrates semi-structured interviews and document analysis to capture a multi-dimensional view of the governance and technical processes involved. Primary data were collected through semi-structured interviews conducted in March 2026 with directors from the Ohio Manufacturers’ Association (OMA), representing the strategic industrial perspective, and the Career Pathway Support Networks (CPSN), acting as the intermediary hub for educational implementation. These interviews focused on the collaborative dynamics, the functional application of the competency model, and the role of Business Advisory Councils (BACs) in facilitating curriculum alignment.</w:t>
      </w:r>
    </w:p>
    <w:p w14:paraId="7F49A9FA" w14:textId="6D0CF29A" w:rsidR="005D6813" w:rsidRPr="004E337B" w:rsidRDefault="00B96996" w:rsidP="00B96996">
      <w:pPr>
        <w:spacing w:line="360" w:lineRule="auto"/>
        <w:jc w:val="both"/>
        <w:rPr>
          <w:rFonts w:ascii="Calibri" w:hAnsi="Calibri" w:cs="Calibri"/>
          <w:sz w:val="22"/>
          <w:szCs w:val="22"/>
        </w:rPr>
      </w:pPr>
      <w:r w:rsidRPr="00B96996">
        <w:rPr>
          <w:rFonts w:ascii="Calibri" w:hAnsi="Calibri" w:cs="Calibri"/>
          <w:sz w:val="22"/>
          <w:szCs w:val="22"/>
        </w:rPr>
        <w:t>To complement the interview data, a rigorous document analysis was performed on the Ohio Perkins V State Plan (2024), the Ohio Manufacturing Competency Model Whitepaper</w:t>
      </w:r>
      <w:r w:rsidR="00081E86">
        <w:rPr>
          <w:rFonts w:ascii="Calibri" w:hAnsi="Calibri" w:cs="Calibri" w:hint="eastAsia"/>
          <w:sz w:val="22"/>
          <w:szCs w:val="22"/>
        </w:rPr>
        <w:t xml:space="preserve"> (2024)</w:t>
      </w:r>
      <w:r w:rsidRPr="00B96996">
        <w:rPr>
          <w:rFonts w:ascii="Calibri" w:hAnsi="Calibri" w:cs="Calibri"/>
          <w:sz w:val="22"/>
          <w:szCs w:val="22"/>
        </w:rPr>
        <w:t>, relevant sections of the Ohio Revised Code (e.g. ORC 3313.82), and official digital resources and policy updates published on the ODEW and OMA websites. The data analysis utilizes the theoretical lens of Competency-Based Education (CBE), specifically applying the dual processes of decomposition and reconstruction. Th</w:t>
      </w:r>
      <w:r w:rsidR="00495D68">
        <w:rPr>
          <w:rFonts w:ascii="Calibri" w:hAnsi="Calibri" w:cs="Calibri" w:hint="eastAsia"/>
          <w:sz w:val="22"/>
          <w:szCs w:val="22"/>
        </w:rPr>
        <w:t>is</w:t>
      </w:r>
      <w:r w:rsidRPr="00B96996">
        <w:rPr>
          <w:rFonts w:ascii="Calibri" w:hAnsi="Calibri" w:cs="Calibri"/>
          <w:sz w:val="22"/>
          <w:szCs w:val="22"/>
        </w:rPr>
        <w:t xml:space="preserve"> methodology enables a systematic evaluation of how industrial tasks are disaggregated into discrete competencies and subsequently reassembled into formal state-approved curricula, ensuring a high-fidelity alignment between workplace requirements and classroom instruction.</w:t>
      </w:r>
    </w:p>
    <w:p w14:paraId="656AEF8C" w14:textId="77777777" w:rsidR="005D6813" w:rsidRDefault="005D6813" w:rsidP="004E337B">
      <w:pPr>
        <w:spacing w:line="360" w:lineRule="auto"/>
        <w:jc w:val="both"/>
        <w:rPr>
          <w:rFonts w:ascii="Calibri" w:hAnsi="Calibri" w:cs="Calibri"/>
          <w:sz w:val="22"/>
          <w:szCs w:val="22"/>
        </w:rPr>
      </w:pPr>
    </w:p>
    <w:p w14:paraId="6154CF5D" w14:textId="4A7AD27C" w:rsidR="003932CA" w:rsidRPr="004E337B" w:rsidRDefault="003932CA" w:rsidP="004E337B">
      <w:pPr>
        <w:spacing w:line="360" w:lineRule="auto"/>
        <w:jc w:val="both"/>
        <w:rPr>
          <w:rFonts w:ascii="Calibri" w:hAnsi="Calibri" w:cs="Calibri"/>
          <w:sz w:val="22"/>
          <w:szCs w:val="22"/>
        </w:rPr>
      </w:pPr>
      <w:r w:rsidRPr="003932CA">
        <w:rPr>
          <w:rFonts w:ascii="Calibri" w:hAnsi="Calibri" w:cs="Calibri"/>
          <w:sz w:val="22"/>
          <w:szCs w:val="22"/>
        </w:rPr>
        <w:t>5. Results</w:t>
      </w:r>
    </w:p>
    <w:p w14:paraId="4ECEEBF2" w14:textId="77777777" w:rsidR="003932CA" w:rsidRPr="003932CA" w:rsidRDefault="003932CA" w:rsidP="003932CA">
      <w:pPr>
        <w:spacing w:line="360" w:lineRule="auto"/>
        <w:jc w:val="both"/>
        <w:rPr>
          <w:rFonts w:ascii="Calibri" w:hAnsi="Calibri" w:cs="Calibri"/>
          <w:sz w:val="22"/>
          <w:szCs w:val="22"/>
        </w:rPr>
      </w:pPr>
      <w:r w:rsidRPr="003932CA">
        <w:rPr>
          <w:rFonts w:ascii="Calibri" w:hAnsi="Calibri" w:cs="Calibri"/>
          <w:sz w:val="22"/>
          <w:szCs w:val="22"/>
        </w:rPr>
        <w:t>5.1 The Actors (Who): A Multi-Level Governance Network</w:t>
      </w:r>
    </w:p>
    <w:p w14:paraId="733E880C" w14:textId="7985F9C9" w:rsidR="003932CA" w:rsidRPr="003932CA" w:rsidRDefault="003932CA" w:rsidP="003932CA">
      <w:pPr>
        <w:spacing w:line="360" w:lineRule="auto"/>
        <w:jc w:val="both"/>
        <w:rPr>
          <w:rFonts w:ascii="Calibri" w:hAnsi="Calibri" w:cs="Calibri"/>
          <w:sz w:val="22"/>
          <w:szCs w:val="22"/>
        </w:rPr>
      </w:pPr>
      <w:r w:rsidRPr="003932CA">
        <w:rPr>
          <w:rFonts w:ascii="Calibri" w:hAnsi="Calibri" w:cs="Calibri"/>
          <w:sz w:val="22"/>
          <w:szCs w:val="22"/>
        </w:rPr>
        <w:t xml:space="preserve">The translation of occupational tasks in Ohio is not an isolated pedagogical exercise but a structural output of a sophisticated Multi-Level Governance Network. This network consists of </w:t>
      </w:r>
      <w:r w:rsidRPr="003932CA">
        <w:rPr>
          <w:rFonts w:ascii="Calibri" w:hAnsi="Calibri" w:cs="Calibri"/>
          <w:sz w:val="22"/>
          <w:szCs w:val="22"/>
        </w:rPr>
        <w:lastRenderedPageBreak/>
        <w:t xml:space="preserve">state-level institutional leaders, strategic industry associations, and regional intermediary hubs, each performing a distinct role within </w:t>
      </w:r>
      <w:r w:rsidR="00C97B17" w:rsidRPr="00C97B17">
        <w:rPr>
          <w:rFonts w:ascii="Calibri" w:hAnsi="Calibri" w:cs="Calibri"/>
          <w:sz w:val="22"/>
          <w:szCs w:val="22"/>
        </w:rPr>
        <w:t>the dual CBE processes</w:t>
      </w:r>
      <w:r w:rsidR="00C97B17">
        <w:rPr>
          <w:rFonts w:ascii="Calibri" w:hAnsi="Calibri" w:cs="Calibri" w:hint="eastAsia"/>
          <w:sz w:val="22"/>
          <w:szCs w:val="22"/>
        </w:rPr>
        <w:t xml:space="preserve"> of </w:t>
      </w:r>
      <w:r w:rsidRPr="003932CA">
        <w:rPr>
          <w:rFonts w:ascii="Calibri" w:hAnsi="Calibri" w:cs="Calibri"/>
          <w:sz w:val="22"/>
          <w:szCs w:val="22"/>
        </w:rPr>
        <w:t>decomposition and reconstruction.</w:t>
      </w:r>
    </w:p>
    <w:p w14:paraId="3CF5908B" w14:textId="5532285F" w:rsidR="003932CA" w:rsidRPr="003932CA" w:rsidRDefault="003932CA" w:rsidP="003932CA">
      <w:pPr>
        <w:spacing w:line="360" w:lineRule="auto"/>
        <w:jc w:val="both"/>
        <w:rPr>
          <w:rFonts w:ascii="Calibri" w:hAnsi="Calibri" w:cs="Calibri"/>
          <w:sz w:val="22"/>
          <w:szCs w:val="22"/>
        </w:rPr>
      </w:pPr>
      <w:r w:rsidRPr="003932CA">
        <w:rPr>
          <w:rFonts w:ascii="Calibri" w:hAnsi="Calibri" w:cs="Calibri"/>
          <w:sz w:val="22"/>
          <w:szCs w:val="22"/>
        </w:rPr>
        <w:t>At the State Institutional Level, the Ohio Department of Education and Workforce (ODEW) provides the legal and fiscal scaffolding for the entire system. Guided by the federal Perkins V mandate, ODEW has institutionalized the reconstruction platform through the Ohio Revised Code (ORC 3313.82). This law mandates that every school district establish a Business Advisory Council (BAC), effectively requiring a formal dialogue between educational administrators and local employers. Furthermore, the Comprehensive Local Needs Assessment (CLNA) serves as a biennial accountability mechanism, necessitating that schools justify their program offerings based on validated labor market data. By making industry alignment a condition for state and federal funding, ODEW creates the necessary "institutional entry points" for industrial standards to be integrated into educational requirements.</w:t>
      </w:r>
    </w:p>
    <w:p w14:paraId="0FC089FA" w14:textId="21FC0BD7" w:rsidR="003932CA" w:rsidRPr="003932CA" w:rsidRDefault="003932CA" w:rsidP="003932CA">
      <w:pPr>
        <w:spacing w:line="360" w:lineRule="auto"/>
        <w:jc w:val="both"/>
        <w:rPr>
          <w:rFonts w:ascii="Calibri" w:hAnsi="Calibri" w:cs="Calibri"/>
          <w:sz w:val="22"/>
          <w:szCs w:val="22"/>
        </w:rPr>
      </w:pPr>
      <w:r w:rsidRPr="003932CA">
        <w:rPr>
          <w:rFonts w:ascii="Calibri" w:hAnsi="Calibri" w:cs="Calibri"/>
          <w:sz w:val="22"/>
          <w:szCs w:val="22"/>
        </w:rPr>
        <w:t xml:space="preserve">At the Strategic Industrial Level, the Ohio Manufacturers’ Association (OMA) acts as the lead agency for decomposition, crucially functioning as a "translator" that converts complex industrial requirements into an educational common language. Shifting from a traditional lobbying-focus to a workforce-centric mission, the OMA views the talent pipeline as a "Common Pool Resource" essential for the sector’s survival. </w:t>
      </w:r>
      <w:r w:rsidRPr="00C121B2">
        <w:rPr>
          <w:rFonts w:ascii="Calibri" w:hAnsi="Calibri" w:cs="Calibri"/>
          <w:sz w:val="22"/>
          <w:szCs w:val="22"/>
        </w:rPr>
        <w:t xml:space="preserve">The OMA spearheaded the development of the Ohio Manufacturing Competency Model, which systematically disaggregates complex industrial roles into discrete units of Knowledge, Skills, and Abilities (KSAs). Their function is to provide the decomposed </w:t>
      </w:r>
      <w:r w:rsidR="00C121B2" w:rsidRPr="00C121B2">
        <w:rPr>
          <w:rFonts w:ascii="Calibri" w:hAnsi="Calibri" w:cs="Calibri"/>
          <w:sz w:val="22"/>
          <w:szCs w:val="22"/>
        </w:rPr>
        <w:t>competencies</w:t>
      </w:r>
      <w:r w:rsidRPr="00C121B2">
        <w:rPr>
          <w:rFonts w:ascii="Calibri" w:hAnsi="Calibri" w:cs="Calibri"/>
          <w:sz w:val="22"/>
          <w:szCs w:val="22"/>
        </w:rPr>
        <w:t xml:space="preserve"> that </w:t>
      </w:r>
      <w:r w:rsidR="00C121B2" w:rsidRPr="00C121B2">
        <w:rPr>
          <w:rFonts w:ascii="Calibri" w:hAnsi="Calibri" w:cs="Calibri"/>
          <w:sz w:val="22"/>
          <w:szCs w:val="22"/>
        </w:rPr>
        <w:t>ensure</w:t>
      </w:r>
      <w:r w:rsidRPr="00C121B2">
        <w:rPr>
          <w:rFonts w:ascii="Calibri" w:hAnsi="Calibri" w:cs="Calibri"/>
          <w:sz w:val="22"/>
          <w:szCs w:val="22"/>
        </w:rPr>
        <w:t xml:space="preserve"> the translation process begins with a high-fidelity reflection of </w:t>
      </w:r>
      <w:r w:rsidR="00C121B2" w:rsidRPr="00C121B2">
        <w:rPr>
          <w:rFonts w:ascii="Calibri" w:hAnsi="Calibri" w:cs="Calibri" w:hint="eastAsia"/>
          <w:sz w:val="22"/>
          <w:szCs w:val="22"/>
        </w:rPr>
        <w:t>workplace</w:t>
      </w:r>
      <w:r w:rsidRPr="00C121B2">
        <w:rPr>
          <w:rFonts w:ascii="Calibri" w:hAnsi="Calibri" w:cs="Calibri"/>
          <w:sz w:val="22"/>
          <w:szCs w:val="22"/>
        </w:rPr>
        <w:t xml:space="preserve"> requirements.</w:t>
      </w:r>
    </w:p>
    <w:p w14:paraId="6B250E6A" w14:textId="1460A76C" w:rsidR="003932CA" w:rsidRDefault="003932CA" w:rsidP="003932CA">
      <w:pPr>
        <w:spacing w:line="360" w:lineRule="auto"/>
        <w:jc w:val="both"/>
        <w:rPr>
          <w:rFonts w:ascii="Calibri" w:hAnsi="Calibri" w:cs="Calibri"/>
          <w:sz w:val="22"/>
          <w:szCs w:val="22"/>
        </w:rPr>
      </w:pPr>
      <w:r w:rsidRPr="003932CA">
        <w:rPr>
          <w:rFonts w:ascii="Calibri" w:hAnsi="Calibri" w:cs="Calibri"/>
          <w:sz w:val="22"/>
          <w:szCs w:val="22"/>
        </w:rPr>
        <w:t xml:space="preserve">Connecting these levels, the Career Pathway Support Networks (CPSN) function as the primary agents of Operational and Localized Reconstruction. While the OMA provides the strategic </w:t>
      </w:r>
      <w:r w:rsidRPr="003932CA">
        <w:rPr>
          <w:rFonts w:ascii="Calibri" w:hAnsi="Calibri" w:cs="Calibri"/>
          <w:sz w:val="22"/>
          <w:szCs w:val="22"/>
        </w:rPr>
        <w:lastRenderedPageBreak/>
        <w:t xml:space="preserve">decomposition of competencies, the CPSN </w:t>
      </w:r>
      <w:r w:rsidR="00081E86">
        <w:rPr>
          <w:rFonts w:ascii="Calibri" w:hAnsi="Calibri" w:cs="Calibri" w:hint="eastAsia"/>
          <w:sz w:val="22"/>
          <w:szCs w:val="22"/>
        </w:rPr>
        <w:t xml:space="preserve">is </w:t>
      </w:r>
      <w:r w:rsidRPr="003932CA">
        <w:rPr>
          <w:rFonts w:ascii="Calibri" w:hAnsi="Calibri" w:cs="Calibri"/>
          <w:sz w:val="22"/>
          <w:szCs w:val="22"/>
        </w:rPr>
        <w:t xml:space="preserve">responsible for the vital task of applying these abstract standards to the specific realities of regional classrooms. </w:t>
      </w:r>
      <w:r w:rsidR="00081E86">
        <w:rPr>
          <w:rFonts w:ascii="Calibri" w:hAnsi="Calibri" w:cs="Calibri" w:hint="eastAsia"/>
          <w:sz w:val="22"/>
          <w:szCs w:val="22"/>
        </w:rPr>
        <w:t>They</w:t>
      </w:r>
      <w:r w:rsidRPr="003932CA">
        <w:rPr>
          <w:rFonts w:ascii="Calibri" w:hAnsi="Calibri" w:cs="Calibri"/>
          <w:sz w:val="22"/>
          <w:szCs w:val="22"/>
        </w:rPr>
        <w:t xml:space="preserve"> provide the "boots on the ground" support required to ensure that the state-approved standards are reconstructed into viable, region-specific curricula. Their role involves facilitating the technical training of local instructors and managing the alignment of regional programs, ensuring that the decomposed KSAs are effectively reassembled into practical, state-compliant classroom instruction.</w:t>
      </w:r>
      <w:r w:rsidR="00081E86">
        <w:rPr>
          <w:rFonts w:ascii="Calibri" w:hAnsi="Calibri" w:cs="Calibri" w:hint="eastAsia"/>
          <w:sz w:val="22"/>
          <w:szCs w:val="22"/>
        </w:rPr>
        <w:t xml:space="preserve"> </w:t>
      </w:r>
      <w:r>
        <w:rPr>
          <w:rFonts w:ascii="Calibri" w:hAnsi="Calibri" w:cs="Calibri" w:hint="eastAsia"/>
          <w:sz w:val="22"/>
          <w:szCs w:val="22"/>
        </w:rPr>
        <w:t>T</w:t>
      </w:r>
      <w:r w:rsidRPr="003932CA">
        <w:rPr>
          <w:rFonts w:ascii="Calibri" w:hAnsi="Calibri" w:cs="Calibri"/>
          <w:sz w:val="22"/>
          <w:szCs w:val="22"/>
        </w:rPr>
        <w:t>his multi-layered structure ensures that the translation of tasks is neither lost in bureaucracy nor isolated within industry, but is instead harmonized across all levels of governance.</w:t>
      </w:r>
    </w:p>
    <w:p w14:paraId="01C916E0" w14:textId="77777777" w:rsidR="005D6813" w:rsidRPr="004E337B" w:rsidRDefault="005D6813" w:rsidP="004E337B">
      <w:pPr>
        <w:spacing w:line="360" w:lineRule="auto"/>
        <w:jc w:val="both"/>
        <w:rPr>
          <w:rFonts w:ascii="Calibri" w:hAnsi="Calibri" w:cs="Calibri"/>
          <w:sz w:val="22"/>
          <w:szCs w:val="22"/>
        </w:rPr>
      </w:pPr>
    </w:p>
    <w:p w14:paraId="5E9ECA8E" w14:textId="77777777" w:rsidR="002301DE" w:rsidRPr="002301DE" w:rsidRDefault="002301DE" w:rsidP="002301DE">
      <w:pPr>
        <w:spacing w:line="360" w:lineRule="auto"/>
        <w:jc w:val="both"/>
        <w:rPr>
          <w:rFonts w:ascii="Calibri" w:hAnsi="Calibri" w:cs="Calibri"/>
          <w:sz w:val="22"/>
          <w:szCs w:val="22"/>
        </w:rPr>
      </w:pPr>
      <w:r w:rsidRPr="002301DE">
        <w:rPr>
          <w:rFonts w:ascii="Calibri" w:hAnsi="Calibri" w:cs="Calibri"/>
          <w:sz w:val="22"/>
          <w:szCs w:val="22"/>
        </w:rPr>
        <w:t>5.2 The Mechanism (How): The Three-Step Translation Process</w:t>
      </w:r>
    </w:p>
    <w:p w14:paraId="0CCDA4FF" w14:textId="4153A5D2" w:rsidR="002301DE" w:rsidRDefault="002301DE" w:rsidP="002301DE">
      <w:pPr>
        <w:spacing w:line="360" w:lineRule="auto"/>
        <w:jc w:val="both"/>
        <w:rPr>
          <w:rFonts w:ascii="Calibri" w:hAnsi="Calibri" w:cs="Calibri"/>
          <w:sz w:val="22"/>
          <w:szCs w:val="22"/>
        </w:rPr>
      </w:pPr>
      <w:r w:rsidRPr="002301DE">
        <w:rPr>
          <w:rFonts w:ascii="Calibri" w:hAnsi="Calibri" w:cs="Calibri"/>
          <w:sz w:val="22"/>
          <w:szCs w:val="22"/>
        </w:rPr>
        <w:t xml:space="preserve">The conversion of industrial requirements into classroom instruction is executed through a systematic three-step mechanism that operationalizes the theoretical </w:t>
      </w:r>
      <w:r w:rsidR="00C97B17" w:rsidRPr="00C97B17">
        <w:rPr>
          <w:rFonts w:ascii="Calibri" w:hAnsi="Calibri" w:cs="Calibri"/>
          <w:sz w:val="22"/>
          <w:szCs w:val="22"/>
        </w:rPr>
        <w:t>processes</w:t>
      </w:r>
      <w:r w:rsidR="00C97B17">
        <w:rPr>
          <w:rFonts w:ascii="Calibri" w:hAnsi="Calibri" w:cs="Calibri" w:hint="eastAsia"/>
          <w:sz w:val="22"/>
          <w:szCs w:val="22"/>
        </w:rPr>
        <w:t xml:space="preserve"> </w:t>
      </w:r>
      <w:r w:rsidRPr="002301DE">
        <w:rPr>
          <w:rFonts w:ascii="Calibri" w:hAnsi="Calibri" w:cs="Calibri"/>
          <w:sz w:val="22"/>
          <w:szCs w:val="22"/>
        </w:rPr>
        <w:t>of decomposition and reconstruction. This process ensures the "translation" is both technically precise and institutionally aligned with state mandates.</w:t>
      </w:r>
    </w:p>
    <w:p w14:paraId="47C48579" w14:textId="77777777" w:rsidR="002301DE" w:rsidRPr="00E43A52" w:rsidRDefault="002301DE" w:rsidP="002301DE">
      <w:pPr>
        <w:spacing w:line="360" w:lineRule="auto"/>
        <w:jc w:val="both"/>
        <w:rPr>
          <w:rFonts w:ascii="Calibri" w:hAnsi="Calibri" w:cs="Calibri"/>
          <w:sz w:val="22"/>
          <w:szCs w:val="22"/>
          <w:u w:val="single"/>
        </w:rPr>
      </w:pPr>
      <w:r w:rsidRPr="00E43A52">
        <w:rPr>
          <w:rFonts w:ascii="Calibri" w:hAnsi="Calibri" w:cs="Calibri"/>
          <w:sz w:val="22"/>
          <w:szCs w:val="22"/>
          <w:u w:val="single"/>
        </w:rPr>
        <w:t>Step 1: Systematic Decomposition via the Competency Model</w:t>
      </w:r>
    </w:p>
    <w:p w14:paraId="59414F91" w14:textId="713AA44D" w:rsidR="002301DE" w:rsidRDefault="002301DE" w:rsidP="002301DE">
      <w:pPr>
        <w:spacing w:line="360" w:lineRule="auto"/>
        <w:jc w:val="both"/>
        <w:rPr>
          <w:rFonts w:ascii="Calibri" w:hAnsi="Calibri" w:cs="Calibri"/>
          <w:sz w:val="22"/>
          <w:szCs w:val="22"/>
        </w:rPr>
      </w:pPr>
      <w:r w:rsidRPr="002301DE">
        <w:rPr>
          <w:rFonts w:ascii="Calibri" w:hAnsi="Calibri" w:cs="Calibri"/>
          <w:sz w:val="22"/>
          <w:szCs w:val="22"/>
        </w:rPr>
        <w:t xml:space="preserve">The process begins with the Ohio Manufacturing Competency Model, the primary engine for decomposition. This framework disaggregates a modern manufacturer’s profile into six distinct tiers: three Foundational Tiers (personal effectiveness, academic, and workplace </w:t>
      </w:r>
      <w:r>
        <w:rPr>
          <w:rFonts w:ascii="Calibri" w:hAnsi="Calibri" w:cs="Calibri" w:hint="eastAsia"/>
          <w:sz w:val="22"/>
          <w:szCs w:val="22"/>
        </w:rPr>
        <w:t>tier</w:t>
      </w:r>
      <w:r w:rsidRPr="002301DE">
        <w:rPr>
          <w:rFonts w:ascii="Calibri" w:hAnsi="Calibri" w:cs="Calibri"/>
          <w:sz w:val="22"/>
          <w:szCs w:val="22"/>
        </w:rPr>
        <w:t>s) and three Industry-Related Tiers (manufacturing, industry-specific, and occupation-specific</w:t>
      </w:r>
      <w:r>
        <w:rPr>
          <w:rFonts w:ascii="Calibri" w:hAnsi="Calibri" w:cs="Calibri" w:hint="eastAsia"/>
          <w:sz w:val="22"/>
          <w:szCs w:val="22"/>
        </w:rPr>
        <w:t xml:space="preserve"> tiers</w:t>
      </w:r>
      <w:r w:rsidRPr="002301DE">
        <w:rPr>
          <w:rFonts w:ascii="Calibri" w:hAnsi="Calibri" w:cs="Calibri"/>
          <w:sz w:val="22"/>
          <w:szCs w:val="22"/>
        </w:rPr>
        <w:t>). By organizing competencies into this hierarchy, the model defines granular data points for educational targets. Crucially, this model maintains 100 percent alignment with the ODEW Manufacturing Career Pathway Standards. This total synchronization ensures that the decomposed competencies are inherently compatible with state mandates, providing the necessary foundation for the "dual-alignment" achieved in subsequent steps.</w:t>
      </w:r>
    </w:p>
    <w:p w14:paraId="582DC300" w14:textId="77777777" w:rsidR="002301DE" w:rsidRPr="00E43A52" w:rsidRDefault="002301DE" w:rsidP="002301DE">
      <w:pPr>
        <w:spacing w:line="360" w:lineRule="auto"/>
        <w:jc w:val="both"/>
        <w:rPr>
          <w:rFonts w:ascii="Calibri" w:hAnsi="Calibri" w:cs="Calibri"/>
          <w:sz w:val="22"/>
          <w:szCs w:val="22"/>
          <w:u w:val="single"/>
        </w:rPr>
      </w:pPr>
      <w:r w:rsidRPr="00E43A52">
        <w:rPr>
          <w:rFonts w:ascii="Calibri" w:hAnsi="Calibri" w:cs="Calibri"/>
          <w:sz w:val="22"/>
          <w:szCs w:val="22"/>
          <w:u w:val="single"/>
        </w:rPr>
        <w:lastRenderedPageBreak/>
        <w:t>Step 2: Institutional Reconstruction via the Curriculum Assessment Tool</w:t>
      </w:r>
    </w:p>
    <w:p w14:paraId="6E9EB316" w14:textId="77777777" w:rsidR="002301DE" w:rsidRPr="002301DE" w:rsidRDefault="002301DE" w:rsidP="002301DE">
      <w:pPr>
        <w:spacing w:line="360" w:lineRule="auto"/>
        <w:jc w:val="both"/>
        <w:rPr>
          <w:rFonts w:ascii="Calibri" w:hAnsi="Calibri" w:cs="Calibri"/>
          <w:sz w:val="22"/>
          <w:szCs w:val="22"/>
        </w:rPr>
      </w:pPr>
      <w:r w:rsidRPr="002301DE">
        <w:rPr>
          <w:rFonts w:ascii="Calibri" w:hAnsi="Calibri" w:cs="Calibri"/>
          <w:sz w:val="22"/>
          <w:szCs w:val="22"/>
        </w:rPr>
        <w:t>The second step utilizes the Curriculum Assessment Tool, an OMA-developed interface that serves as the technical infrastructure for reconstruction. While the OMA provides this standardized infrastructure, the actual act of reconstruction is performed by educational actors—primarily individual schools and districts, with CPSN providing regional and technical support. This tool allows educators to map their existing curricula against the OMA’s decomposed competencies.</w:t>
      </w:r>
    </w:p>
    <w:p w14:paraId="68A58966" w14:textId="21875674" w:rsidR="002301DE" w:rsidRDefault="002301DE" w:rsidP="002301DE">
      <w:pPr>
        <w:spacing w:line="360" w:lineRule="auto"/>
        <w:jc w:val="both"/>
        <w:rPr>
          <w:rFonts w:ascii="Calibri" w:hAnsi="Calibri" w:cs="Calibri"/>
          <w:sz w:val="22"/>
          <w:szCs w:val="22"/>
        </w:rPr>
      </w:pPr>
      <w:r w:rsidRPr="002301DE">
        <w:rPr>
          <w:rFonts w:ascii="Calibri" w:hAnsi="Calibri" w:cs="Calibri"/>
          <w:sz w:val="22"/>
          <w:szCs w:val="22"/>
        </w:rPr>
        <w:t xml:space="preserve">Because the underlying model is 100 percent aligned with state standards, this mapping achieves "dual-alignment," satisfying both industrial needs and state regulations. For example, if the tool identifies a deficiency in "Blueprint Reading" (a </w:t>
      </w:r>
      <w:r w:rsidR="00586321" w:rsidRPr="00586321">
        <w:rPr>
          <w:rFonts w:ascii="Calibri" w:hAnsi="Calibri" w:cs="Calibri"/>
          <w:sz w:val="22"/>
          <w:szCs w:val="22"/>
        </w:rPr>
        <w:t>manufacturing tier</w:t>
      </w:r>
      <w:r w:rsidR="00586321">
        <w:rPr>
          <w:rFonts w:ascii="Calibri" w:hAnsi="Calibri" w:cs="Calibri" w:hint="eastAsia"/>
          <w:sz w:val="22"/>
          <w:szCs w:val="22"/>
        </w:rPr>
        <w:t xml:space="preserve"> </w:t>
      </w:r>
      <w:r w:rsidRPr="002301DE">
        <w:rPr>
          <w:rFonts w:ascii="Calibri" w:hAnsi="Calibri" w:cs="Calibri"/>
          <w:sz w:val="22"/>
          <w:szCs w:val="22"/>
        </w:rPr>
        <w:t>competency), it automatically maps this gap to a corresponding ODEW Career Pathway Standard</w:t>
      </w:r>
      <w:r w:rsidR="00586321" w:rsidRPr="00586321">
        <w:rPr>
          <w:rFonts w:ascii="Calibri" w:hAnsi="Calibri" w:cs="Calibri"/>
          <w:sz w:val="22"/>
          <w:szCs w:val="22"/>
        </w:rPr>
        <w:t>, such as Engineering Design or Manufacturing Processes</w:t>
      </w:r>
      <w:r w:rsidRPr="002301DE">
        <w:rPr>
          <w:rFonts w:ascii="Calibri" w:hAnsi="Calibri" w:cs="Calibri"/>
          <w:sz w:val="22"/>
          <w:szCs w:val="22"/>
        </w:rPr>
        <w:t>. This provides a "prescriptive reconstruction," informing local educators exactly which modules must be added to meet industrial needs and maintain eligibility for Perkins V funding. This bridge is the core mechanism through which schools reassemble industrial KSAs into a formal, state-certified educational framework.</w:t>
      </w:r>
    </w:p>
    <w:p w14:paraId="3E426C4C" w14:textId="77777777" w:rsidR="002301DE" w:rsidRPr="00E43A52" w:rsidRDefault="002301DE" w:rsidP="002301DE">
      <w:pPr>
        <w:spacing w:line="360" w:lineRule="auto"/>
        <w:jc w:val="both"/>
        <w:rPr>
          <w:rFonts w:ascii="Calibri" w:hAnsi="Calibri" w:cs="Calibri"/>
          <w:sz w:val="22"/>
          <w:szCs w:val="22"/>
          <w:u w:val="single"/>
        </w:rPr>
      </w:pPr>
      <w:r w:rsidRPr="00E43A52">
        <w:rPr>
          <w:rFonts w:ascii="Calibri" w:hAnsi="Calibri" w:cs="Calibri"/>
          <w:sz w:val="22"/>
          <w:szCs w:val="22"/>
          <w:u w:val="single"/>
        </w:rPr>
        <w:t>Step 3: Operational Delivery via BACs and Toolkits</w:t>
      </w:r>
    </w:p>
    <w:p w14:paraId="215C82BF" w14:textId="5B310D3C" w:rsidR="005D6813" w:rsidRPr="004E337B" w:rsidRDefault="002301DE" w:rsidP="002301DE">
      <w:pPr>
        <w:spacing w:line="360" w:lineRule="auto"/>
        <w:jc w:val="both"/>
        <w:rPr>
          <w:rFonts w:ascii="Calibri" w:hAnsi="Calibri" w:cs="Calibri"/>
          <w:sz w:val="22"/>
          <w:szCs w:val="22"/>
        </w:rPr>
      </w:pPr>
      <w:r w:rsidRPr="002301DE">
        <w:rPr>
          <w:rFonts w:ascii="Calibri" w:hAnsi="Calibri" w:cs="Calibri"/>
          <w:sz w:val="22"/>
          <w:szCs w:val="22"/>
        </w:rPr>
        <w:t>The final step ensures the operational fidelity of the translated content. This stage relies on Business Advisory Councils (BACs), which act as localized governance bodies to validate the reconstructed curriculum against regional employer needs. Delivery is further supported by "Industry Ambassadors"—vetted professionals who provide real-world context—and ready-made teacher toolkits. By combining BAC oversight with these practical resources, the mechanism ensures the final educational output is a high-fidelity reflection of</w:t>
      </w:r>
      <w:r w:rsidR="00586321">
        <w:rPr>
          <w:rFonts w:ascii="Calibri" w:hAnsi="Calibri" w:cs="Calibri" w:hint="eastAsia"/>
          <w:sz w:val="22"/>
          <w:szCs w:val="22"/>
        </w:rPr>
        <w:t xml:space="preserve"> </w:t>
      </w:r>
      <w:r w:rsidR="00586321" w:rsidRPr="00586321">
        <w:rPr>
          <w:rFonts w:ascii="Calibri" w:hAnsi="Calibri" w:cs="Calibri"/>
          <w:sz w:val="22"/>
          <w:szCs w:val="22"/>
        </w:rPr>
        <w:t>the contemporary manufacturing environment</w:t>
      </w:r>
      <w:r w:rsidRPr="002301DE">
        <w:rPr>
          <w:rFonts w:ascii="Calibri" w:hAnsi="Calibri" w:cs="Calibri"/>
          <w:sz w:val="22"/>
          <w:szCs w:val="22"/>
        </w:rPr>
        <w:t>.</w:t>
      </w:r>
    </w:p>
    <w:p w14:paraId="1A9C220F" w14:textId="77777777" w:rsidR="005D6813" w:rsidRDefault="005D6813" w:rsidP="004E337B">
      <w:pPr>
        <w:spacing w:line="360" w:lineRule="auto"/>
        <w:jc w:val="both"/>
        <w:rPr>
          <w:rFonts w:ascii="Calibri" w:hAnsi="Calibri" w:cs="Calibri"/>
          <w:sz w:val="22"/>
          <w:szCs w:val="22"/>
        </w:rPr>
      </w:pPr>
    </w:p>
    <w:p w14:paraId="0CCC4608" w14:textId="77777777" w:rsidR="00727E7A" w:rsidRPr="00727E7A" w:rsidRDefault="00727E7A" w:rsidP="00727E7A">
      <w:pPr>
        <w:spacing w:line="360" w:lineRule="auto"/>
        <w:jc w:val="both"/>
        <w:rPr>
          <w:rFonts w:ascii="Calibri" w:hAnsi="Calibri" w:cs="Calibri"/>
          <w:sz w:val="22"/>
          <w:szCs w:val="22"/>
        </w:rPr>
      </w:pPr>
      <w:r w:rsidRPr="00727E7A">
        <w:rPr>
          <w:rFonts w:ascii="Calibri" w:hAnsi="Calibri" w:cs="Calibri"/>
          <w:sz w:val="22"/>
          <w:szCs w:val="22"/>
        </w:rPr>
        <w:lastRenderedPageBreak/>
        <w:t>6. Conclusions</w:t>
      </w:r>
    </w:p>
    <w:p w14:paraId="13A74852" w14:textId="1D72C770" w:rsidR="00727E7A" w:rsidRPr="00727E7A" w:rsidRDefault="00727E7A" w:rsidP="00727E7A">
      <w:pPr>
        <w:spacing w:line="360" w:lineRule="auto"/>
        <w:jc w:val="both"/>
        <w:rPr>
          <w:rFonts w:ascii="Calibri" w:hAnsi="Calibri" w:cs="Calibri"/>
          <w:sz w:val="22"/>
          <w:szCs w:val="22"/>
        </w:rPr>
      </w:pPr>
      <w:r w:rsidRPr="00727E7A">
        <w:rPr>
          <w:rFonts w:ascii="Calibri" w:hAnsi="Calibri" w:cs="Calibri"/>
          <w:sz w:val="22"/>
          <w:szCs w:val="22"/>
        </w:rPr>
        <w:t>This research has investigated the systemic mechanisms through which Ohio "translates" occupational manufacturing tasks into formal educational training. By utilizing Competency-Based Education (CBE) as the primary analytical lens, the study demonstrates that this translation is not a singular event, but a continuous, structured cycle of decomposition and reconstruction facilitated by a sophisticated multi-level governance network.</w:t>
      </w:r>
    </w:p>
    <w:p w14:paraId="52578F6C" w14:textId="491A7F72" w:rsidR="00727E7A" w:rsidRPr="00727E7A" w:rsidRDefault="00727E7A" w:rsidP="00727E7A">
      <w:pPr>
        <w:spacing w:line="360" w:lineRule="auto"/>
        <w:jc w:val="both"/>
        <w:rPr>
          <w:rFonts w:ascii="Calibri" w:hAnsi="Calibri" w:cs="Calibri"/>
          <w:sz w:val="22"/>
          <w:szCs w:val="22"/>
        </w:rPr>
      </w:pPr>
      <w:r w:rsidRPr="00727E7A">
        <w:rPr>
          <w:rFonts w:ascii="Calibri" w:hAnsi="Calibri" w:cs="Calibri"/>
          <w:sz w:val="22"/>
          <w:szCs w:val="22"/>
        </w:rPr>
        <w:t xml:space="preserve">The findings reveal that the decomposition phase is successfully operationalized by the Ohio Manufacturers’ Association (OMA). By disaggregating complex manufacturing roles into a six-tier hierarchy of Knowledge, Skills, and Abilities (KSAs), the OMA provides a standardized "common language" that bridges communication divide between the </w:t>
      </w:r>
      <w:r>
        <w:rPr>
          <w:rFonts w:ascii="Calibri" w:hAnsi="Calibri" w:cs="Calibri" w:hint="eastAsia"/>
          <w:sz w:val="22"/>
          <w:szCs w:val="22"/>
        </w:rPr>
        <w:t xml:space="preserve">workspace </w:t>
      </w:r>
      <w:r w:rsidRPr="00727E7A">
        <w:rPr>
          <w:rFonts w:ascii="Calibri" w:hAnsi="Calibri" w:cs="Calibri"/>
          <w:sz w:val="22"/>
          <w:szCs w:val="22"/>
        </w:rPr>
        <w:t xml:space="preserve">and the classroom. Crucially, the 100 percent alignment between the OMA’s Competency Model and the ODEW </w:t>
      </w:r>
      <w:r w:rsidR="002C120D">
        <w:rPr>
          <w:rFonts w:ascii="Calibri" w:hAnsi="Calibri" w:cs="Calibri" w:hint="eastAsia"/>
          <w:sz w:val="22"/>
          <w:szCs w:val="22"/>
        </w:rPr>
        <w:t>M</w:t>
      </w:r>
      <w:r w:rsidR="002C120D" w:rsidRPr="002C120D">
        <w:rPr>
          <w:rFonts w:ascii="Calibri" w:hAnsi="Calibri" w:cs="Calibri"/>
          <w:sz w:val="22"/>
          <w:szCs w:val="22"/>
        </w:rPr>
        <w:t xml:space="preserve">anufacturing </w:t>
      </w:r>
      <w:r w:rsidRPr="00727E7A">
        <w:rPr>
          <w:rFonts w:ascii="Calibri" w:hAnsi="Calibri" w:cs="Calibri"/>
          <w:sz w:val="22"/>
          <w:szCs w:val="22"/>
        </w:rPr>
        <w:t xml:space="preserve">Career Pathway Standards ensures that the </w:t>
      </w:r>
      <w:r w:rsidR="002C120D" w:rsidRPr="002C120D">
        <w:rPr>
          <w:rFonts w:ascii="Calibri" w:hAnsi="Calibri" w:cs="Calibri"/>
          <w:sz w:val="22"/>
          <w:szCs w:val="22"/>
        </w:rPr>
        <w:t>granulated competency requirements</w:t>
      </w:r>
      <w:r w:rsidR="002C120D" w:rsidRPr="002C120D">
        <w:rPr>
          <w:rFonts w:ascii="Calibri" w:hAnsi="Calibri" w:cs="Calibri"/>
          <w:sz w:val="22"/>
          <w:szCs w:val="22"/>
        </w:rPr>
        <w:t xml:space="preserve"> </w:t>
      </w:r>
      <w:r w:rsidRPr="00727E7A">
        <w:rPr>
          <w:rFonts w:ascii="Calibri" w:hAnsi="Calibri" w:cs="Calibri"/>
          <w:sz w:val="22"/>
          <w:szCs w:val="22"/>
        </w:rPr>
        <w:t xml:space="preserve">produced during decomposition </w:t>
      </w:r>
      <w:r w:rsidR="002C120D" w:rsidRPr="00727E7A">
        <w:rPr>
          <w:rFonts w:ascii="Calibri" w:hAnsi="Calibri" w:cs="Calibri"/>
          <w:sz w:val="22"/>
          <w:szCs w:val="22"/>
        </w:rPr>
        <w:t>are</w:t>
      </w:r>
      <w:r w:rsidRPr="00727E7A">
        <w:rPr>
          <w:rFonts w:ascii="Calibri" w:hAnsi="Calibri" w:cs="Calibri"/>
          <w:sz w:val="22"/>
          <w:szCs w:val="22"/>
        </w:rPr>
        <w:t xml:space="preserve"> inherently compatible with state educational requirements.</w:t>
      </w:r>
    </w:p>
    <w:p w14:paraId="40FC2E4C" w14:textId="3933EE59" w:rsidR="00727E7A" w:rsidRPr="00727E7A" w:rsidRDefault="00727E7A" w:rsidP="00727E7A">
      <w:pPr>
        <w:spacing w:line="360" w:lineRule="auto"/>
        <w:jc w:val="both"/>
        <w:rPr>
          <w:rFonts w:ascii="Calibri" w:hAnsi="Calibri" w:cs="Calibri"/>
          <w:sz w:val="22"/>
          <w:szCs w:val="22"/>
        </w:rPr>
      </w:pPr>
      <w:r w:rsidRPr="00727E7A">
        <w:rPr>
          <w:rFonts w:ascii="Calibri" w:hAnsi="Calibri" w:cs="Calibri"/>
          <w:sz w:val="22"/>
          <w:szCs w:val="22"/>
        </w:rPr>
        <w:t>Furthermore, the reconstruction phase is not a top-down mandate, but a collaborative process executed through specialized technical infrastructure. The Curriculum Assessment Tool acts as a vital The Curriculum Assessment Tool acts as a vital cross-sectoral interface, allowing schools to reassemble decomposed competencies into curricula that achieve "dual-alignment." This mechanism ensures that educational programs simultaneously satisfy contemporary industrial needs and maintain eligibility for federal Perkins V funding. The research highlights that while the OMA provides strategic infrastructure, the individual schools—supported by the CPSN and validated by local Business Advisory Councils (</w:t>
      </w:r>
      <w:proofErr w:type="gramStart"/>
      <w:r w:rsidRPr="00727E7A">
        <w:rPr>
          <w:rFonts w:ascii="Calibri" w:hAnsi="Calibri" w:cs="Calibri"/>
          <w:sz w:val="22"/>
          <w:szCs w:val="22"/>
        </w:rPr>
        <w:t>BACs)—</w:t>
      </w:r>
      <w:proofErr w:type="gramEnd"/>
      <w:r w:rsidRPr="00727E7A">
        <w:rPr>
          <w:rFonts w:ascii="Calibri" w:hAnsi="Calibri" w:cs="Calibri"/>
          <w:sz w:val="22"/>
          <w:szCs w:val="22"/>
        </w:rPr>
        <w:t>are the final agents of localized reconstruction, ensuring that global industry standards are adapted to regional realities.</w:t>
      </w:r>
    </w:p>
    <w:p w14:paraId="75412EAF" w14:textId="5B1F009B" w:rsidR="00727E7A" w:rsidRPr="00E43A52" w:rsidRDefault="00727E7A" w:rsidP="00727E7A">
      <w:pPr>
        <w:spacing w:line="360" w:lineRule="auto"/>
        <w:jc w:val="both"/>
        <w:rPr>
          <w:rFonts w:ascii="Calibri" w:hAnsi="Calibri" w:cs="Calibri"/>
          <w:sz w:val="24"/>
        </w:rPr>
      </w:pPr>
      <w:r w:rsidRPr="00727E7A">
        <w:rPr>
          <w:rFonts w:ascii="Calibri" w:hAnsi="Calibri" w:cs="Calibri"/>
          <w:sz w:val="22"/>
          <w:szCs w:val="22"/>
        </w:rPr>
        <w:lastRenderedPageBreak/>
        <w:t>Ultimately, the Ohio model offers a scalable blueprint for industrial-educational alignment. By formalizing the translation process through rigid task-analysis and state-certified mapping tools, Ohio has created a system where classroom instruction remains a high-fidelity reflection of the contemporary manufacturing environment. Future research should explore the longitudinal impact of this "dual alignment" on student employment outcomes and investigate whether this translation framework can be successfully exported to other industrial sectors facing similar workforce challenges.</w:t>
      </w:r>
    </w:p>
    <w:p w14:paraId="304EE55B" w14:textId="77777777" w:rsidR="005D6813" w:rsidRPr="00E43A52" w:rsidRDefault="005D6813" w:rsidP="004E337B">
      <w:pPr>
        <w:spacing w:line="360" w:lineRule="auto"/>
        <w:jc w:val="both"/>
        <w:rPr>
          <w:rFonts w:ascii="Calibri" w:hAnsi="Calibri" w:cs="Calibri"/>
          <w:sz w:val="24"/>
        </w:rPr>
      </w:pPr>
    </w:p>
    <w:p w14:paraId="2FE98650" w14:textId="5C4DA5F1" w:rsidR="00E727CE" w:rsidRDefault="00E43A52" w:rsidP="004E337B">
      <w:pPr>
        <w:spacing w:line="360" w:lineRule="auto"/>
        <w:jc w:val="both"/>
        <w:rPr>
          <w:rFonts w:ascii="Calibri" w:hAnsi="Calibri" w:cs="Calibri"/>
          <w:sz w:val="22"/>
          <w:szCs w:val="28"/>
        </w:rPr>
      </w:pPr>
      <w:r>
        <w:rPr>
          <w:rFonts w:ascii="Calibri" w:hAnsi="Calibri" w:cs="Calibri" w:hint="eastAsia"/>
          <w:sz w:val="22"/>
          <w:szCs w:val="28"/>
        </w:rPr>
        <w:t>B</w:t>
      </w:r>
      <w:r w:rsidRPr="00E43A52">
        <w:rPr>
          <w:rFonts w:ascii="Calibri" w:hAnsi="Calibri" w:cs="Calibri"/>
          <w:sz w:val="22"/>
          <w:szCs w:val="28"/>
        </w:rPr>
        <w:t>ibliographical references</w:t>
      </w:r>
    </w:p>
    <w:p w14:paraId="086387E9" w14:textId="7F1D2A41" w:rsidR="00A83879" w:rsidRDefault="00A83879" w:rsidP="002E54C6">
      <w:pPr>
        <w:spacing w:line="360" w:lineRule="auto"/>
        <w:ind w:left="220" w:hangingChars="100" w:hanging="220"/>
        <w:jc w:val="both"/>
        <w:rPr>
          <w:rFonts w:ascii="Calibri" w:hAnsi="Calibri" w:cs="Calibri"/>
          <w:sz w:val="22"/>
          <w:szCs w:val="28"/>
        </w:rPr>
      </w:pPr>
      <w:r w:rsidRPr="00A83879">
        <w:rPr>
          <w:rFonts w:ascii="Calibri" w:hAnsi="Calibri" w:cs="Calibri"/>
          <w:sz w:val="22"/>
          <w:szCs w:val="28"/>
        </w:rPr>
        <w:t>Advance CTE</w:t>
      </w:r>
      <w:r>
        <w:rPr>
          <w:rFonts w:ascii="Calibri" w:hAnsi="Calibri" w:cs="Calibri" w:hint="eastAsia"/>
          <w:sz w:val="22"/>
          <w:szCs w:val="28"/>
        </w:rPr>
        <w:t xml:space="preserve">. (2020). </w:t>
      </w:r>
      <w:r w:rsidRPr="009D2A53">
        <w:rPr>
          <w:rFonts w:ascii="Calibri" w:hAnsi="Calibri" w:cs="Calibri"/>
          <w:i/>
          <w:iCs/>
          <w:sz w:val="22"/>
          <w:szCs w:val="28"/>
        </w:rPr>
        <w:t xml:space="preserve">The </w:t>
      </w:r>
      <w:r w:rsidR="002E54C6" w:rsidRPr="009D2A53">
        <w:rPr>
          <w:rFonts w:ascii="Calibri" w:hAnsi="Calibri" w:cs="Calibri" w:hint="eastAsia"/>
          <w:i/>
          <w:iCs/>
          <w:sz w:val="22"/>
          <w:szCs w:val="28"/>
        </w:rPr>
        <w:t>s</w:t>
      </w:r>
      <w:r w:rsidRPr="009D2A53">
        <w:rPr>
          <w:rFonts w:ascii="Calibri" w:hAnsi="Calibri" w:cs="Calibri"/>
          <w:i/>
          <w:iCs/>
          <w:sz w:val="22"/>
          <w:szCs w:val="28"/>
        </w:rPr>
        <w:t xml:space="preserve">tate of </w:t>
      </w:r>
      <w:r w:rsidR="002E54C6" w:rsidRPr="009D2A53">
        <w:rPr>
          <w:rFonts w:ascii="Calibri" w:hAnsi="Calibri" w:cs="Calibri" w:hint="eastAsia"/>
          <w:i/>
          <w:iCs/>
          <w:sz w:val="22"/>
          <w:szCs w:val="28"/>
        </w:rPr>
        <w:t>c</w:t>
      </w:r>
      <w:r w:rsidRPr="009D2A53">
        <w:rPr>
          <w:rFonts w:ascii="Calibri" w:hAnsi="Calibri" w:cs="Calibri"/>
          <w:i/>
          <w:iCs/>
          <w:sz w:val="22"/>
          <w:szCs w:val="28"/>
        </w:rPr>
        <w:t xml:space="preserve">areer </w:t>
      </w:r>
      <w:r w:rsidR="002E54C6" w:rsidRPr="009D2A53">
        <w:rPr>
          <w:rFonts w:ascii="Calibri" w:hAnsi="Calibri" w:cs="Calibri" w:hint="eastAsia"/>
          <w:i/>
          <w:iCs/>
          <w:sz w:val="22"/>
          <w:szCs w:val="28"/>
        </w:rPr>
        <w:t>t</w:t>
      </w:r>
      <w:r w:rsidRPr="009D2A53">
        <w:rPr>
          <w:rFonts w:ascii="Calibri" w:hAnsi="Calibri" w:cs="Calibri"/>
          <w:i/>
          <w:iCs/>
          <w:sz w:val="22"/>
          <w:szCs w:val="28"/>
        </w:rPr>
        <w:t xml:space="preserve">echnical </w:t>
      </w:r>
      <w:r w:rsidR="002E54C6" w:rsidRPr="009D2A53">
        <w:rPr>
          <w:rFonts w:ascii="Calibri" w:hAnsi="Calibri" w:cs="Calibri" w:hint="eastAsia"/>
          <w:i/>
          <w:iCs/>
          <w:sz w:val="22"/>
          <w:szCs w:val="28"/>
        </w:rPr>
        <w:t>e</w:t>
      </w:r>
      <w:r w:rsidRPr="009D2A53">
        <w:rPr>
          <w:rFonts w:ascii="Calibri" w:hAnsi="Calibri" w:cs="Calibri"/>
          <w:i/>
          <w:iCs/>
          <w:sz w:val="22"/>
          <w:szCs w:val="28"/>
        </w:rPr>
        <w:t xml:space="preserve">ducation: An </w:t>
      </w:r>
      <w:r w:rsidR="002E54C6" w:rsidRPr="009D2A53">
        <w:rPr>
          <w:rFonts w:ascii="Calibri" w:hAnsi="Calibri" w:cs="Calibri" w:hint="eastAsia"/>
          <w:i/>
          <w:iCs/>
          <w:sz w:val="22"/>
          <w:szCs w:val="28"/>
        </w:rPr>
        <w:t>a</w:t>
      </w:r>
      <w:r w:rsidRPr="009D2A53">
        <w:rPr>
          <w:rFonts w:ascii="Calibri" w:hAnsi="Calibri" w:cs="Calibri"/>
          <w:i/>
          <w:iCs/>
          <w:sz w:val="22"/>
          <w:szCs w:val="28"/>
        </w:rPr>
        <w:t xml:space="preserve">nalysis of </w:t>
      </w:r>
      <w:r w:rsidR="002E54C6" w:rsidRPr="009D2A53">
        <w:rPr>
          <w:rFonts w:ascii="Calibri" w:hAnsi="Calibri" w:cs="Calibri" w:hint="eastAsia"/>
          <w:i/>
          <w:iCs/>
          <w:sz w:val="22"/>
          <w:szCs w:val="28"/>
        </w:rPr>
        <w:t>s</w:t>
      </w:r>
      <w:r w:rsidRPr="009D2A53">
        <w:rPr>
          <w:rFonts w:ascii="Calibri" w:hAnsi="Calibri" w:cs="Calibri"/>
          <w:i/>
          <w:iCs/>
          <w:sz w:val="22"/>
          <w:szCs w:val="28"/>
        </w:rPr>
        <w:t xml:space="preserve">tates’ Perkins V </w:t>
      </w:r>
      <w:r w:rsidR="002E54C6" w:rsidRPr="009D2A53">
        <w:rPr>
          <w:rFonts w:ascii="Calibri" w:hAnsi="Calibri" w:cs="Calibri" w:hint="eastAsia"/>
          <w:i/>
          <w:iCs/>
          <w:sz w:val="22"/>
          <w:szCs w:val="28"/>
        </w:rPr>
        <w:t>p</w:t>
      </w:r>
      <w:r w:rsidRPr="009D2A53">
        <w:rPr>
          <w:rFonts w:ascii="Calibri" w:hAnsi="Calibri" w:cs="Calibri"/>
          <w:i/>
          <w:iCs/>
          <w:sz w:val="22"/>
          <w:szCs w:val="28"/>
        </w:rPr>
        <w:t>riorities</w:t>
      </w:r>
      <w:r>
        <w:rPr>
          <w:rFonts w:ascii="Calibri" w:hAnsi="Calibri" w:cs="Calibri" w:hint="eastAsia"/>
          <w:sz w:val="22"/>
          <w:szCs w:val="28"/>
        </w:rPr>
        <w:t>.</w:t>
      </w:r>
      <w:r w:rsidR="009D2A53">
        <w:rPr>
          <w:rFonts w:ascii="Calibri" w:hAnsi="Calibri" w:cs="Calibri" w:hint="eastAsia"/>
          <w:sz w:val="22"/>
          <w:szCs w:val="28"/>
        </w:rPr>
        <w:t xml:space="preserve"> </w:t>
      </w:r>
      <w:r w:rsidR="009D2A53" w:rsidRPr="009D2A53">
        <w:rPr>
          <w:rFonts w:ascii="Calibri" w:hAnsi="Calibri" w:cs="Calibri"/>
          <w:sz w:val="22"/>
          <w:szCs w:val="28"/>
        </w:rPr>
        <w:t>https://careertech.org/resource/the-state-of-career-technical-education-an-analysis-of-states-perkins-v-priorities/</w:t>
      </w:r>
    </w:p>
    <w:p w14:paraId="27DEACBC" w14:textId="12282175" w:rsidR="002E54C6" w:rsidRDefault="002E54C6" w:rsidP="002E54C6">
      <w:pPr>
        <w:spacing w:line="360" w:lineRule="auto"/>
        <w:ind w:left="220" w:hangingChars="100" w:hanging="220"/>
        <w:jc w:val="both"/>
        <w:rPr>
          <w:rFonts w:ascii="Calibri" w:hAnsi="Calibri" w:cs="Calibri"/>
          <w:sz w:val="22"/>
          <w:szCs w:val="28"/>
        </w:rPr>
      </w:pPr>
      <w:r w:rsidRPr="002E54C6">
        <w:rPr>
          <w:rFonts w:ascii="Calibri" w:hAnsi="Calibri" w:cs="Calibri"/>
          <w:sz w:val="22"/>
          <w:szCs w:val="28"/>
        </w:rPr>
        <w:t xml:space="preserve">Hill, E., Poland, K. B., &amp; Reitz, C. (2025). Ohio's regional manufacturing workforce partnerships: Governing a common pool resource. </w:t>
      </w:r>
      <w:r w:rsidRPr="009D2A53">
        <w:rPr>
          <w:rFonts w:ascii="Calibri" w:hAnsi="Calibri" w:cs="Calibri"/>
          <w:i/>
          <w:iCs/>
          <w:sz w:val="22"/>
          <w:szCs w:val="28"/>
        </w:rPr>
        <w:t>Economic Development Quarterly</w:t>
      </w:r>
      <w:r w:rsidRPr="002E54C6">
        <w:rPr>
          <w:rFonts w:ascii="Calibri" w:hAnsi="Calibri" w:cs="Calibri"/>
          <w:sz w:val="22"/>
          <w:szCs w:val="28"/>
        </w:rPr>
        <w:t xml:space="preserve">, </w:t>
      </w:r>
      <w:r w:rsidRPr="00CB7C69">
        <w:rPr>
          <w:rFonts w:ascii="Calibri" w:hAnsi="Calibri" w:cs="Calibri"/>
          <w:i/>
          <w:iCs/>
          <w:sz w:val="22"/>
          <w:szCs w:val="28"/>
        </w:rPr>
        <w:t>39</w:t>
      </w:r>
      <w:r w:rsidRPr="002E54C6">
        <w:rPr>
          <w:rFonts w:ascii="Calibri" w:hAnsi="Calibri" w:cs="Calibri"/>
          <w:sz w:val="22"/>
          <w:szCs w:val="28"/>
        </w:rPr>
        <w:t>(1), 60–70.</w:t>
      </w:r>
    </w:p>
    <w:p w14:paraId="69372A92" w14:textId="1B598BEF" w:rsidR="00A83879" w:rsidRDefault="00A83879" w:rsidP="002E54C6">
      <w:pPr>
        <w:spacing w:line="360" w:lineRule="auto"/>
        <w:ind w:left="220" w:hangingChars="100" w:hanging="220"/>
        <w:jc w:val="both"/>
        <w:rPr>
          <w:rFonts w:ascii="Calibri" w:hAnsi="Calibri" w:cs="Calibri" w:hint="eastAsia"/>
          <w:sz w:val="22"/>
          <w:szCs w:val="28"/>
        </w:rPr>
      </w:pPr>
      <w:r w:rsidRPr="00A83879">
        <w:rPr>
          <w:rFonts w:ascii="Calibri" w:hAnsi="Calibri" w:cs="Calibri"/>
          <w:sz w:val="22"/>
          <w:szCs w:val="28"/>
        </w:rPr>
        <w:t>Ohio Department of Education and Workforce. (202</w:t>
      </w:r>
      <w:r>
        <w:rPr>
          <w:rFonts w:ascii="Calibri" w:hAnsi="Calibri" w:cs="Calibri" w:hint="eastAsia"/>
          <w:sz w:val="22"/>
          <w:szCs w:val="28"/>
        </w:rPr>
        <w:t>2)</w:t>
      </w:r>
      <w:r w:rsidRPr="00A83879">
        <w:rPr>
          <w:rFonts w:ascii="Calibri" w:hAnsi="Calibri" w:cs="Calibri"/>
          <w:sz w:val="22"/>
          <w:szCs w:val="28"/>
        </w:rPr>
        <w:t xml:space="preserve">. </w:t>
      </w:r>
      <w:r w:rsidRPr="009D2A53">
        <w:rPr>
          <w:rFonts w:ascii="Calibri" w:hAnsi="Calibri" w:cs="Calibri"/>
          <w:i/>
          <w:iCs/>
          <w:sz w:val="22"/>
          <w:szCs w:val="28"/>
        </w:rPr>
        <w:t xml:space="preserve">Expanding </w:t>
      </w:r>
      <w:r w:rsidR="002E54C6" w:rsidRPr="009D2A53">
        <w:rPr>
          <w:rFonts w:ascii="Calibri" w:hAnsi="Calibri" w:cs="Calibri" w:hint="eastAsia"/>
          <w:i/>
          <w:iCs/>
          <w:sz w:val="22"/>
          <w:szCs w:val="28"/>
        </w:rPr>
        <w:t>c</w:t>
      </w:r>
      <w:r w:rsidRPr="009D2A53">
        <w:rPr>
          <w:rFonts w:ascii="Calibri" w:hAnsi="Calibri" w:cs="Calibri"/>
          <w:i/>
          <w:iCs/>
          <w:sz w:val="22"/>
          <w:szCs w:val="28"/>
        </w:rPr>
        <w:t>areer-</w:t>
      </w:r>
      <w:r w:rsidR="002E54C6" w:rsidRPr="009D2A53">
        <w:rPr>
          <w:rFonts w:ascii="Calibri" w:hAnsi="Calibri" w:cs="Calibri" w:hint="eastAsia"/>
          <w:i/>
          <w:iCs/>
          <w:sz w:val="22"/>
          <w:szCs w:val="28"/>
        </w:rPr>
        <w:t>t</w:t>
      </w:r>
      <w:r w:rsidRPr="009D2A53">
        <w:rPr>
          <w:rFonts w:ascii="Calibri" w:hAnsi="Calibri" w:cs="Calibri"/>
          <w:i/>
          <w:iCs/>
          <w:sz w:val="22"/>
          <w:szCs w:val="28"/>
        </w:rPr>
        <w:t xml:space="preserve">echnical </w:t>
      </w:r>
      <w:r w:rsidR="002E54C6" w:rsidRPr="009D2A53">
        <w:rPr>
          <w:rFonts w:ascii="Calibri" w:hAnsi="Calibri" w:cs="Calibri" w:hint="eastAsia"/>
          <w:i/>
          <w:iCs/>
          <w:sz w:val="22"/>
          <w:szCs w:val="28"/>
        </w:rPr>
        <w:t>e</w:t>
      </w:r>
      <w:r w:rsidRPr="009D2A53">
        <w:rPr>
          <w:rFonts w:ascii="Calibri" w:hAnsi="Calibri" w:cs="Calibri"/>
          <w:i/>
          <w:iCs/>
          <w:sz w:val="22"/>
          <w:szCs w:val="28"/>
        </w:rPr>
        <w:t>ducation in Ohio</w:t>
      </w:r>
      <w:r>
        <w:rPr>
          <w:rFonts w:ascii="Calibri" w:hAnsi="Calibri" w:cs="Calibri" w:hint="eastAsia"/>
          <w:sz w:val="22"/>
          <w:szCs w:val="28"/>
        </w:rPr>
        <w:t>.</w:t>
      </w:r>
      <w:r w:rsidR="009D2A53">
        <w:rPr>
          <w:rFonts w:ascii="Calibri" w:hAnsi="Calibri" w:cs="Calibri" w:hint="eastAsia"/>
          <w:sz w:val="22"/>
          <w:szCs w:val="28"/>
        </w:rPr>
        <w:t xml:space="preserve"> </w:t>
      </w:r>
      <w:r w:rsidR="009D2A53" w:rsidRPr="009D2A53">
        <w:rPr>
          <w:rFonts w:ascii="Calibri" w:hAnsi="Calibri" w:cs="Calibri"/>
          <w:sz w:val="22"/>
          <w:szCs w:val="28"/>
        </w:rPr>
        <w:t>https://education.ohio.gov/Topics/Career-Tech/Expanding-Career-Technical-Education-Across-Ohio</w:t>
      </w:r>
    </w:p>
    <w:p w14:paraId="26C65A01" w14:textId="327061DC" w:rsidR="00A83879" w:rsidRDefault="00A83879" w:rsidP="002E54C6">
      <w:pPr>
        <w:spacing w:line="360" w:lineRule="auto"/>
        <w:ind w:left="220" w:hangingChars="100" w:hanging="220"/>
        <w:jc w:val="both"/>
        <w:rPr>
          <w:rFonts w:ascii="Calibri" w:hAnsi="Calibri" w:cs="Calibri" w:hint="eastAsia"/>
          <w:sz w:val="22"/>
          <w:szCs w:val="28"/>
        </w:rPr>
      </w:pPr>
      <w:r w:rsidRPr="00A83879">
        <w:rPr>
          <w:rFonts w:ascii="Calibri" w:hAnsi="Calibri" w:cs="Calibri"/>
          <w:sz w:val="22"/>
          <w:szCs w:val="28"/>
        </w:rPr>
        <w:t>Ohio Department of Education and Workforce. (202</w:t>
      </w:r>
      <w:r>
        <w:rPr>
          <w:rFonts w:ascii="Calibri" w:hAnsi="Calibri" w:cs="Calibri" w:hint="eastAsia"/>
          <w:sz w:val="22"/>
          <w:szCs w:val="28"/>
        </w:rPr>
        <w:t>3)</w:t>
      </w:r>
      <w:r w:rsidRPr="00A83879">
        <w:rPr>
          <w:rFonts w:ascii="Calibri" w:hAnsi="Calibri" w:cs="Calibri"/>
          <w:sz w:val="22"/>
          <w:szCs w:val="28"/>
        </w:rPr>
        <w:t xml:space="preserve">. </w:t>
      </w:r>
      <w:r w:rsidRPr="009D2A53">
        <w:rPr>
          <w:rFonts w:ascii="Calibri" w:hAnsi="Calibri" w:cs="Calibri"/>
          <w:i/>
          <w:iCs/>
          <w:sz w:val="22"/>
          <w:szCs w:val="28"/>
        </w:rPr>
        <w:t xml:space="preserve">Comprehensive </w:t>
      </w:r>
      <w:r w:rsidR="002E54C6" w:rsidRPr="009D2A53">
        <w:rPr>
          <w:rFonts w:ascii="Calibri" w:hAnsi="Calibri" w:cs="Calibri" w:hint="eastAsia"/>
          <w:i/>
          <w:iCs/>
          <w:sz w:val="22"/>
          <w:szCs w:val="28"/>
        </w:rPr>
        <w:t>l</w:t>
      </w:r>
      <w:r w:rsidRPr="009D2A53">
        <w:rPr>
          <w:rFonts w:ascii="Calibri" w:hAnsi="Calibri" w:cs="Calibri"/>
          <w:i/>
          <w:iCs/>
          <w:sz w:val="22"/>
          <w:szCs w:val="28"/>
        </w:rPr>
        <w:t xml:space="preserve">ocal </w:t>
      </w:r>
      <w:r w:rsidR="002E54C6" w:rsidRPr="009D2A53">
        <w:rPr>
          <w:rFonts w:ascii="Calibri" w:hAnsi="Calibri" w:cs="Calibri" w:hint="eastAsia"/>
          <w:i/>
          <w:iCs/>
          <w:sz w:val="22"/>
          <w:szCs w:val="28"/>
        </w:rPr>
        <w:t>n</w:t>
      </w:r>
      <w:r w:rsidRPr="009D2A53">
        <w:rPr>
          <w:rFonts w:ascii="Calibri" w:hAnsi="Calibri" w:cs="Calibri"/>
          <w:i/>
          <w:iCs/>
          <w:sz w:val="22"/>
          <w:szCs w:val="28"/>
        </w:rPr>
        <w:t xml:space="preserve">eeds </w:t>
      </w:r>
      <w:r w:rsidR="002E54C6" w:rsidRPr="009D2A53">
        <w:rPr>
          <w:rFonts w:ascii="Calibri" w:hAnsi="Calibri" w:cs="Calibri" w:hint="eastAsia"/>
          <w:i/>
          <w:iCs/>
          <w:sz w:val="22"/>
          <w:szCs w:val="28"/>
        </w:rPr>
        <w:t>a</w:t>
      </w:r>
      <w:r w:rsidRPr="009D2A53">
        <w:rPr>
          <w:rFonts w:ascii="Calibri" w:hAnsi="Calibri" w:cs="Calibri"/>
          <w:i/>
          <w:iCs/>
          <w:sz w:val="22"/>
          <w:szCs w:val="28"/>
        </w:rPr>
        <w:t xml:space="preserve">ssessment </w:t>
      </w:r>
      <w:r w:rsidR="002E54C6" w:rsidRPr="009D2A53">
        <w:rPr>
          <w:rFonts w:ascii="Calibri" w:hAnsi="Calibri" w:cs="Calibri" w:hint="eastAsia"/>
          <w:i/>
          <w:iCs/>
          <w:sz w:val="22"/>
          <w:szCs w:val="28"/>
        </w:rPr>
        <w:t>g</w:t>
      </w:r>
      <w:r w:rsidRPr="009D2A53">
        <w:rPr>
          <w:rFonts w:ascii="Calibri" w:hAnsi="Calibri" w:cs="Calibri"/>
          <w:i/>
          <w:iCs/>
          <w:sz w:val="22"/>
          <w:szCs w:val="28"/>
        </w:rPr>
        <w:t>uidebook 2025</w:t>
      </w:r>
      <w:r w:rsidRPr="00A83879">
        <w:rPr>
          <w:rFonts w:ascii="Calibri" w:hAnsi="Calibri" w:cs="Calibri"/>
          <w:sz w:val="22"/>
          <w:szCs w:val="28"/>
        </w:rPr>
        <w:t>.</w:t>
      </w:r>
      <w:r w:rsidR="009D2A53">
        <w:rPr>
          <w:rFonts w:ascii="Calibri" w:hAnsi="Calibri" w:cs="Calibri" w:hint="eastAsia"/>
          <w:sz w:val="22"/>
          <w:szCs w:val="28"/>
        </w:rPr>
        <w:t xml:space="preserve"> </w:t>
      </w:r>
      <w:r w:rsidR="009D2A53" w:rsidRPr="009D2A53">
        <w:rPr>
          <w:rFonts w:ascii="Calibri" w:hAnsi="Calibri" w:cs="Calibri"/>
          <w:sz w:val="22"/>
          <w:szCs w:val="28"/>
        </w:rPr>
        <w:t>https://education.ohio.gov/Topics/Career-Tech/CTE-Data-and-Accountability/Perkins-V-State-Plan/Carl-D-Perkins-V-State-Plan-Comprehensive-Local</w:t>
      </w:r>
    </w:p>
    <w:p w14:paraId="2A4B13FD" w14:textId="55A60C31" w:rsidR="00E43A52" w:rsidRDefault="00A83879" w:rsidP="009D2A53">
      <w:pPr>
        <w:spacing w:line="360" w:lineRule="auto"/>
        <w:ind w:left="220" w:hangingChars="100" w:hanging="220"/>
        <w:jc w:val="both"/>
        <w:rPr>
          <w:rFonts w:ascii="Calibri" w:hAnsi="Calibri" w:cs="Calibri" w:hint="eastAsia"/>
          <w:sz w:val="22"/>
          <w:szCs w:val="28"/>
        </w:rPr>
      </w:pPr>
      <w:r w:rsidRPr="00A83879">
        <w:rPr>
          <w:rFonts w:ascii="Calibri" w:hAnsi="Calibri" w:cs="Calibri"/>
          <w:sz w:val="22"/>
          <w:szCs w:val="28"/>
        </w:rPr>
        <w:t>Ohio Department of Education and Workforce. (202</w:t>
      </w:r>
      <w:r>
        <w:rPr>
          <w:rFonts w:ascii="Calibri" w:hAnsi="Calibri" w:cs="Calibri" w:hint="eastAsia"/>
          <w:sz w:val="22"/>
          <w:szCs w:val="28"/>
        </w:rPr>
        <w:t>4</w:t>
      </w:r>
      <w:r w:rsidRPr="00A83879">
        <w:rPr>
          <w:rFonts w:ascii="Calibri" w:hAnsi="Calibri" w:cs="Calibri"/>
          <w:sz w:val="22"/>
          <w:szCs w:val="28"/>
        </w:rPr>
        <w:t xml:space="preserve">). </w:t>
      </w:r>
      <w:r w:rsidRPr="009D2A53">
        <w:rPr>
          <w:rFonts w:ascii="Calibri" w:hAnsi="Calibri" w:cs="Calibri"/>
          <w:i/>
          <w:iCs/>
          <w:sz w:val="22"/>
          <w:szCs w:val="28"/>
        </w:rPr>
        <w:t xml:space="preserve">The Ohio Perkins V </w:t>
      </w:r>
      <w:r w:rsidR="002E54C6" w:rsidRPr="009D2A53">
        <w:rPr>
          <w:rFonts w:ascii="Calibri" w:hAnsi="Calibri" w:cs="Calibri" w:hint="eastAsia"/>
          <w:i/>
          <w:iCs/>
          <w:sz w:val="22"/>
          <w:szCs w:val="28"/>
        </w:rPr>
        <w:t>s</w:t>
      </w:r>
      <w:r w:rsidRPr="009D2A53">
        <w:rPr>
          <w:rFonts w:ascii="Calibri" w:hAnsi="Calibri" w:cs="Calibri"/>
          <w:i/>
          <w:iCs/>
          <w:sz w:val="22"/>
          <w:szCs w:val="28"/>
        </w:rPr>
        <w:t xml:space="preserve">tate </w:t>
      </w:r>
      <w:r w:rsidR="002E54C6" w:rsidRPr="009D2A53">
        <w:rPr>
          <w:rFonts w:ascii="Calibri" w:hAnsi="Calibri" w:cs="Calibri" w:hint="eastAsia"/>
          <w:i/>
          <w:iCs/>
          <w:sz w:val="22"/>
          <w:szCs w:val="28"/>
        </w:rPr>
        <w:t>p</w:t>
      </w:r>
      <w:r w:rsidRPr="009D2A53">
        <w:rPr>
          <w:rFonts w:ascii="Calibri" w:hAnsi="Calibri" w:cs="Calibri"/>
          <w:i/>
          <w:iCs/>
          <w:sz w:val="22"/>
          <w:szCs w:val="28"/>
        </w:rPr>
        <w:t>lan</w:t>
      </w:r>
      <w:r w:rsidRPr="00A83879">
        <w:rPr>
          <w:rFonts w:ascii="Calibri" w:hAnsi="Calibri" w:cs="Calibri"/>
          <w:sz w:val="22"/>
          <w:szCs w:val="28"/>
        </w:rPr>
        <w:t>.</w:t>
      </w:r>
      <w:r w:rsidR="009D2A53">
        <w:rPr>
          <w:rFonts w:ascii="Calibri" w:hAnsi="Calibri" w:cs="Calibri" w:hint="eastAsia"/>
          <w:sz w:val="22"/>
          <w:szCs w:val="28"/>
        </w:rPr>
        <w:t xml:space="preserve"> </w:t>
      </w:r>
      <w:r w:rsidR="009D2A53" w:rsidRPr="009D2A53">
        <w:rPr>
          <w:rFonts w:ascii="Calibri" w:hAnsi="Calibri" w:cs="Calibri"/>
          <w:sz w:val="22"/>
          <w:szCs w:val="28"/>
        </w:rPr>
        <w:t>https://education.ohio.gov/Topics/Career-Tech/CTE-Data-and-Accountability/Perkins-V-State-Plan</w:t>
      </w:r>
    </w:p>
    <w:p w14:paraId="20B6EC98" w14:textId="300D3E70" w:rsidR="00A83879" w:rsidRDefault="002E54C6" w:rsidP="009D2A53">
      <w:pPr>
        <w:spacing w:line="360" w:lineRule="auto"/>
        <w:ind w:left="220" w:hangingChars="100" w:hanging="220"/>
        <w:jc w:val="both"/>
        <w:rPr>
          <w:rFonts w:ascii="Calibri" w:hAnsi="Calibri" w:cs="Calibri" w:hint="eastAsia"/>
          <w:sz w:val="22"/>
          <w:szCs w:val="28"/>
        </w:rPr>
      </w:pPr>
      <w:r w:rsidRPr="002E54C6">
        <w:rPr>
          <w:rFonts w:ascii="Calibri" w:hAnsi="Calibri" w:cs="Calibri"/>
          <w:sz w:val="22"/>
          <w:szCs w:val="28"/>
        </w:rPr>
        <w:lastRenderedPageBreak/>
        <w:t>Ohio Manufacturers’ Association. (</w:t>
      </w:r>
      <w:r>
        <w:rPr>
          <w:rFonts w:ascii="Calibri" w:hAnsi="Calibri" w:cs="Calibri" w:hint="eastAsia"/>
          <w:sz w:val="22"/>
          <w:szCs w:val="28"/>
        </w:rPr>
        <w:t>2024</w:t>
      </w:r>
      <w:r w:rsidRPr="002E54C6">
        <w:rPr>
          <w:rFonts w:ascii="Calibri" w:hAnsi="Calibri" w:cs="Calibri"/>
          <w:sz w:val="22"/>
          <w:szCs w:val="28"/>
        </w:rPr>
        <w:t xml:space="preserve">). </w:t>
      </w:r>
      <w:r w:rsidRPr="009D2A53">
        <w:rPr>
          <w:rFonts w:ascii="Calibri" w:hAnsi="Calibri" w:cs="Calibri"/>
          <w:i/>
          <w:iCs/>
          <w:sz w:val="22"/>
          <w:szCs w:val="28"/>
        </w:rPr>
        <w:t>Ohio manufacturing competency model</w:t>
      </w:r>
      <w:r w:rsidRPr="009D2A53">
        <w:rPr>
          <w:rFonts w:ascii="Calibri" w:hAnsi="Calibri" w:cs="Calibri" w:hint="eastAsia"/>
          <w:i/>
          <w:iCs/>
          <w:sz w:val="22"/>
          <w:szCs w:val="28"/>
        </w:rPr>
        <w:t xml:space="preserve"> w</w:t>
      </w:r>
      <w:r w:rsidRPr="009D2A53">
        <w:rPr>
          <w:rFonts w:ascii="Calibri" w:hAnsi="Calibri" w:cs="Calibri"/>
          <w:i/>
          <w:iCs/>
          <w:sz w:val="22"/>
          <w:szCs w:val="28"/>
        </w:rPr>
        <w:t>hitepaper</w:t>
      </w:r>
      <w:r w:rsidRPr="002E54C6">
        <w:rPr>
          <w:rFonts w:ascii="Calibri" w:hAnsi="Calibri" w:cs="Calibri"/>
          <w:sz w:val="22"/>
          <w:szCs w:val="28"/>
        </w:rPr>
        <w:t>.</w:t>
      </w:r>
      <w:r w:rsidR="009D2A53">
        <w:rPr>
          <w:rFonts w:ascii="Calibri" w:hAnsi="Calibri" w:cs="Calibri" w:hint="eastAsia"/>
          <w:sz w:val="22"/>
          <w:szCs w:val="28"/>
        </w:rPr>
        <w:t xml:space="preserve"> </w:t>
      </w:r>
      <w:r w:rsidR="009D2A53" w:rsidRPr="009D2A53">
        <w:rPr>
          <w:rFonts w:ascii="Calibri" w:hAnsi="Calibri" w:cs="Calibri"/>
          <w:sz w:val="22"/>
          <w:szCs w:val="28"/>
        </w:rPr>
        <w:t>https://ohiomfg.informz.net/ohiomfg/pages/Ohio_MFG_Competency_Model_?_zs=iDVqT&amp;_zmi=xSAL</w:t>
      </w:r>
    </w:p>
    <w:p w14:paraId="43AA742D" w14:textId="37855C06" w:rsidR="002E54C6" w:rsidRDefault="002E54C6" w:rsidP="009D2A53">
      <w:pPr>
        <w:spacing w:line="360" w:lineRule="auto"/>
        <w:ind w:left="220" w:hangingChars="100" w:hanging="220"/>
        <w:jc w:val="both"/>
        <w:rPr>
          <w:rFonts w:ascii="Calibri" w:hAnsi="Calibri" w:cs="Calibri"/>
          <w:sz w:val="22"/>
          <w:szCs w:val="28"/>
        </w:rPr>
      </w:pPr>
      <w:r w:rsidRPr="002E54C6">
        <w:rPr>
          <w:rFonts w:ascii="Calibri" w:hAnsi="Calibri" w:cs="Calibri"/>
          <w:sz w:val="22"/>
          <w:szCs w:val="28"/>
        </w:rPr>
        <w:t>Ohio Manufacturers’ Association. (</w:t>
      </w:r>
      <w:r>
        <w:rPr>
          <w:rFonts w:ascii="Calibri" w:hAnsi="Calibri" w:cs="Calibri" w:hint="eastAsia"/>
          <w:sz w:val="22"/>
          <w:szCs w:val="28"/>
        </w:rPr>
        <w:t>202</w:t>
      </w:r>
      <w:r>
        <w:rPr>
          <w:rFonts w:ascii="Calibri" w:hAnsi="Calibri" w:cs="Calibri" w:hint="eastAsia"/>
          <w:sz w:val="22"/>
          <w:szCs w:val="28"/>
        </w:rPr>
        <w:t>5</w:t>
      </w:r>
      <w:r w:rsidRPr="002E54C6">
        <w:rPr>
          <w:rFonts w:ascii="Calibri" w:hAnsi="Calibri" w:cs="Calibri"/>
          <w:sz w:val="22"/>
          <w:szCs w:val="28"/>
        </w:rPr>
        <w:t xml:space="preserve">). </w:t>
      </w:r>
      <w:r w:rsidRPr="009D2A53">
        <w:rPr>
          <w:rFonts w:ascii="Calibri" w:hAnsi="Calibri" w:cs="Calibri"/>
          <w:i/>
          <w:iCs/>
          <w:sz w:val="22"/>
          <w:szCs w:val="28"/>
        </w:rPr>
        <w:t xml:space="preserve">Ohio’s </w:t>
      </w:r>
      <w:r w:rsidRPr="009D2A53">
        <w:rPr>
          <w:rFonts w:ascii="Calibri" w:hAnsi="Calibri" w:cs="Calibri" w:hint="eastAsia"/>
          <w:i/>
          <w:iCs/>
          <w:sz w:val="22"/>
          <w:szCs w:val="28"/>
        </w:rPr>
        <w:t>m</w:t>
      </w:r>
      <w:r w:rsidRPr="009D2A53">
        <w:rPr>
          <w:rFonts w:ascii="Calibri" w:hAnsi="Calibri" w:cs="Calibri"/>
          <w:i/>
          <w:iCs/>
          <w:sz w:val="22"/>
          <w:szCs w:val="28"/>
        </w:rPr>
        <w:t xml:space="preserve">anufacturing </w:t>
      </w:r>
      <w:r w:rsidRPr="009D2A53">
        <w:rPr>
          <w:rFonts w:ascii="Calibri" w:hAnsi="Calibri" w:cs="Calibri" w:hint="eastAsia"/>
          <w:i/>
          <w:iCs/>
          <w:sz w:val="22"/>
          <w:szCs w:val="28"/>
        </w:rPr>
        <w:t>w</w:t>
      </w:r>
      <w:r w:rsidRPr="009D2A53">
        <w:rPr>
          <w:rFonts w:ascii="Calibri" w:hAnsi="Calibri" w:cs="Calibri"/>
          <w:i/>
          <w:iCs/>
          <w:sz w:val="22"/>
          <w:szCs w:val="28"/>
        </w:rPr>
        <w:t xml:space="preserve">orkforce </w:t>
      </w:r>
      <w:r w:rsidRPr="009D2A53">
        <w:rPr>
          <w:rFonts w:ascii="Calibri" w:hAnsi="Calibri" w:cs="Calibri" w:hint="eastAsia"/>
          <w:i/>
          <w:iCs/>
          <w:sz w:val="22"/>
          <w:szCs w:val="28"/>
        </w:rPr>
        <w:t>b</w:t>
      </w:r>
      <w:r w:rsidRPr="009D2A53">
        <w:rPr>
          <w:rFonts w:ascii="Calibri" w:hAnsi="Calibri" w:cs="Calibri"/>
          <w:i/>
          <w:iCs/>
          <w:sz w:val="22"/>
          <w:szCs w:val="28"/>
        </w:rPr>
        <w:t>lueprint</w:t>
      </w:r>
      <w:r>
        <w:rPr>
          <w:rFonts w:ascii="Calibri" w:hAnsi="Calibri" w:cs="Calibri" w:hint="eastAsia"/>
          <w:sz w:val="22"/>
          <w:szCs w:val="28"/>
        </w:rPr>
        <w:t>.</w:t>
      </w:r>
      <w:r w:rsidR="009D2A53">
        <w:rPr>
          <w:rFonts w:ascii="Calibri" w:hAnsi="Calibri" w:cs="Calibri" w:hint="eastAsia"/>
          <w:sz w:val="22"/>
          <w:szCs w:val="28"/>
        </w:rPr>
        <w:t xml:space="preserve"> </w:t>
      </w:r>
      <w:r w:rsidR="009D2A53" w:rsidRPr="009D2A53">
        <w:rPr>
          <w:rFonts w:ascii="Calibri" w:hAnsi="Calibri" w:cs="Calibri"/>
          <w:sz w:val="22"/>
          <w:szCs w:val="28"/>
        </w:rPr>
        <w:t>https://www.ohiomfg.com/our-communities/statewide-manufacturing-workforce-blueprint-released/</w:t>
      </w:r>
    </w:p>
    <w:p w14:paraId="16D90DE1" w14:textId="77777777" w:rsidR="00CB7C69" w:rsidRDefault="00CB7C69" w:rsidP="00CB7C69">
      <w:pPr>
        <w:spacing w:line="360" w:lineRule="auto"/>
        <w:ind w:left="220" w:hangingChars="100" w:hanging="220"/>
        <w:jc w:val="both"/>
        <w:rPr>
          <w:rFonts w:ascii="Calibri" w:hAnsi="Calibri" w:cs="Calibri"/>
          <w:sz w:val="22"/>
          <w:szCs w:val="28"/>
        </w:rPr>
      </w:pPr>
      <w:r w:rsidRPr="001F6DA9">
        <w:rPr>
          <w:rFonts w:ascii="Calibri" w:hAnsi="Calibri" w:cs="Calibri"/>
          <w:sz w:val="22"/>
          <w:szCs w:val="28"/>
        </w:rPr>
        <w:t>Zirkle, C. (2017). A qualitative analysis of high school level vocational education in the United States – three decades of positive change. In M. Pilz (Ed.),</w:t>
      </w:r>
      <w:r w:rsidRPr="001F6DA9">
        <w:rPr>
          <w:rFonts w:ascii="Calibri" w:hAnsi="Calibri" w:cs="Calibri"/>
          <w:i/>
          <w:iCs/>
          <w:sz w:val="22"/>
          <w:szCs w:val="28"/>
        </w:rPr>
        <w:t xml:space="preserve"> Vocational education and training in times of economic crisis: Lessons from around the world </w:t>
      </w:r>
      <w:r w:rsidRPr="001F6DA9">
        <w:rPr>
          <w:rFonts w:ascii="Calibri" w:hAnsi="Calibri" w:cs="Calibri"/>
          <w:sz w:val="22"/>
          <w:szCs w:val="28"/>
        </w:rPr>
        <w:t>(pp. 321–337). Springer.</w:t>
      </w:r>
    </w:p>
    <w:p w14:paraId="1FF63FB7" w14:textId="77777777" w:rsidR="00CB7C69" w:rsidRDefault="00CB7C69" w:rsidP="00CB7C69">
      <w:pPr>
        <w:spacing w:line="360" w:lineRule="auto"/>
        <w:ind w:left="220" w:hangingChars="100" w:hanging="220"/>
        <w:jc w:val="both"/>
        <w:rPr>
          <w:rFonts w:ascii="Calibri" w:hAnsi="Calibri" w:cs="Calibri"/>
          <w:sz w:val="22"/>
          <w:szCs w:val="28"/>
        </w:rPr>
      </w:pPr>
      <w:r w:rsidRPr="00CA3323">
        <w:rPr>
          <w:rFonts w:ascii="Calibri" w:hAnsi="Calibri" w:cs="Calibri"/>
          <w:sz w:val="22"/>
          <w:szCs w:val="28"/>
        </w:rPr>
        <w:t>Zirkle, C. (202</w:t>
      </w:r>
      <w:r>
        <w:rPr>
          <w:rFonts w:ascii="Calibri" w:hAnsi="Calibri" w:cs="Calibri" w:hint="eastAsia"/>
          <w:sz w:val="22"/>
          <w:szCs w:val="28"/>
        </w:rPr>
        <w:t>6</w:t>
      </w:r>
      <w:r w:rsidRPr="00CA3323">
        <w:rPr>
          <w:rFonts w:ascii="Calibri" w:hAnsi="Calibri" w:cs="Calibri"/>
          <w:sz w:val="22"/>
          <w:szCs w:val="28"/>
        </w:rPr>
        <w:t xml:space="preserve">). 100+ years of historical opportunity: Vocational/career and technical education in the State of Ohio. In E. </w:t>
      </w:r>
      <w:proofErr w:type="spellStart"/>
      <w:r w:rsidRPr="00CA3323">
        <w:rPr>
          <w:rFonts w:ascii="Calibri" w:hAnsi="Calibri" w:cs="Calibri"/>
          <w:sz w:val="22"/>
          <w:szCs w:val="28"/>
        </w:rPr>
        <w:t>Smeplass</w:t>
      </w:r>
      <w:proofErr w:type="spellEnd"/>
      <w:r w:rsidRPr="00CA3323">
        <w:rPr>
          <w:rFonts w:ascii="Calibri" w:hAnsi="Calibri" w:cs="Calibri"/>
          <w:sz w:val="22"/>
          <w:szCs w:val="28"/>
        </w:rPr>
        <w:t xml:space="preserve"> &amp; C. Zirkle (Eds.), </w:t>
      </w:r>
      <w:r w:rsidRPr="00CA3323">
        <w:rPr>
          <w:rFonts w:ascii="Calibri" w:hAnsi="Calibri" w:cs="Calibri"/>
          <w:i/>
          <w:iCs/>
          <w:sz w:val="22"/>
          <w:szCs w:val="28"/>
        </w:rPr>
        <w:t>Opportunity structures in vocational education and training: National studies and international discussions</w:t>
      </w:r>
      <w:r w:rsidRPr="00CA3323">
        <w:rPr>
          <w:rFonts w:ascii="Calibri" w:hAnsi="Calibri" w:cs="Calibri"/>
          <w:sz w:val="22"/>
          <w:szCs w:val="28"/>
        </w:rPr>
        <w:t xml:space="preserve"> (pp. 71–96). Palgrave Macmillan Cham.</w:t>
      </w:r>
    </w:p>
    <w:p w14:paraId="12C56A7C" w14:textId="77777777" w:rsidR="00CB7C69" w:rsidRPr="002E54C6" w:rsidRDefault="00CB7C69" w:rsidP="009D2A53">
      <w:pPr>
        <w:spacing w:line="360" w:lineRule="auto"/>
        <w:ind w:left="220" w:hangingChars="100" w:hanging="220"/>
        <w:jc w:val="both"/>
        <w:rPr>
          <w:rFonts w:ascii="Calibri" w:hAnsi="Calibri" w:cs="Calibri" w:hint="eastAsia"/>
          <w:sz w:val="22"/>
          <w:szCs w:val="28"/>
        </w:rPr>
      </w:pPr>
    </w:p>
    <w:sectPr w:rsidR="00CB7C69" w:rsidRPr="002E54C6" w:rsidSect="00D31BE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0C"/>
    <w:rsid w:val="00013FCB"/>
    <w:rsid w:val="00054196"/>
    <w:rsid w:val="00081578"/>
    <w:rsid w:val="00081D2C"/>
    <w:rsid w:val="00081E86"/>
    <w:rsid w:val="00185A98"/>
    <w:rsid w:val="001F6DA9"/>
    <w:rsid w:val="002100E2"/>
    <w:rsid w:val="00217957"/>
    <w:rsid w:val="002301DE"/>
    <w:rsid w:val="00262DD0"/>
    <w:rsid w:val="002C120D"/>
    <w:rsid w:val="002E54C6"/>
    <w:rsid w:val="003932CA"/>
    <w:rsid w:val="003C0D0C"/>
    <w:rsid w:val="0044668E"/>
    <w:rsid w:val="00495D68"/>
    <w:rsid w:val="004E0B35"/>
    <w:rsid w:val="004E337B"/>
    <w:rsid w:val="0051149A"/>
    <w:rsid w:val="005238A1"/>
    <w:rsid w:val="00586321"/>
    <w:rsid w:val="005D6813"/>
    <w:rsid w:val="006E5898"/>
    <w:rsid w:val="00727E7A"/>
    <w:rsid w:val="00775DE2"/>
    <w:rsid w:val="0079462E"/>
    <w:rsid w:val="009A7D86"/>
    <w:rsid w:val="009D2A53"/>
    <w:rsid w:val="00A83879"/>
    <w:rsid w:val="00B83FD2"/>
    <w:rsid w:val="00B96996"/>
    <w:rsid w:val="00C121B2"/>
    <w:rsid w:val="00C97B17"/>
    <w:rsid w:val="00CA3323"/>
    <w:rsid w:val="00CB7C69"/>
    <w:rsid w:val="00CF5B24"/>
    <w:rsid w:val="00D31BEC"/>
    <w:rsid w:val="00DA3F32"/>
    <w:rsid w:val="00E43A52"/>
    <w:rsid w:val="00E727CE"/>
    <w:rsid w:val="00ED59C8"/>
    <w:rsid w:val="00F65C1B"/>
    <w:rsid w:val="00FA3B64"/>
    <w:rsid w:val="00FD73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35D1BB"/>
  <w15:chartTrackingRefBased/>
  <w15:docId w15:val="{B9F92365-09BB-4B9F-8E41-71F786B9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C0D0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C0D0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C0D0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C0D0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C0D0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C0D0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C0D0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C0D0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C0D0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C0D0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C0D0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C0D0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C0D0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C0D0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C0D0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C0D0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C0D0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C0D0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C0D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C0D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0D0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C0D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C0D0C"/>
    <w:pPr>
      <w:spacing w:before="160" w:after="160"/>
      <w:jc w:val="center"/>
    </w:pPr>
    <w:rPr>
      <w:i/>
      <w:iCs/>
      <w:color w:val="404040" w:themeColor="text1" w:themeTint="BF"/>
    </w:rPr>
  </w:style>
  <w:style w:type="character" w:customStyle="1" w:styleId="a8">
    <w:name w:val="引用文 (文字)"/>
    <w:basedOn w:val="a0"/>
    <w:link w:val="a7"/>
    <w:uiPriority w:val="29"/>
    <w:rsid w:val="003C0D0C"/>
    <w:rPr>
      <w:i/>
      <w:iCs/>
      <w:color w:val="404040" w:themeColor="text1" w:themeTint="BF"/>
    </w:rPr>
  </w:style>
  <w:style w:type="paragraph" w:styleId="a9">
    <w:name w:val="List Paragraph"/>
    <w:basedOn w:val="a"/>
    <w:uiPriority w:val="34"/>
    <w:qFormat/>
    <w:rsid w:val="003C0D0C"/>
    <w:pPr>
      <w:ind w:left="720"/>
      <w:contextualSpacing/>
    </w:pPr>
  </w:style>
  <w:style w:type="character" w:styleId="21">
    <w:name w:val="Intense Emphasis"/>
    <w:basedOn w:val="a0"/>
    <w:uiPriority w:val="21"/>
    <w:qFormat/>
    <w:rsid w:val="003C0D0C"/>
    <w:rPr>
      <w:i/>
      <w:iCs/>
      <w:color w:val="0F4761" w:themeColor="accent1" w:themeShade="BF"/>
    </w:rPr>
  </w:style>
  <w:style w:type="paragraph" w:styleId="22">
    <w:name w:val="Intense Quote"/>
    <w:basedOn w:val="a"/>
    <w:next w:val="a"/>
    <w:link w:val="23"/>
    <w:uiPriority w:val="30"/>
    <w:qFormat/>
    <w:rsid w:val="003C0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C0D0C"/>
    <w:rPr>
      <w:i/>
      <w:iCs/>
      <w:color w:val="0F4761" w:themeColor="accent1" w:themeShade="BF"/>
    </w:rPr>
  </w:style>
  <w:style w:type="character" w:styleId="24">
    <w:name w:val="Intense Reference"/>
    <w:basedOn w:val="a0"/>
    <w:uiPriority w:val="32"/>
    <w:qFormat/>
    <w:rsid w:val="003C0D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680</TotalTime>
  <Pages>12</Pages>
  <Words>3260</Words>
  <Characters>18289</Characters>
  <Application>Microsoft Office Word</Application>
  <DocSecurity>0</DocSecurity>
  <Lines>397</Lines>
  <Paragraphs>140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芦沢柚香</dc:creator>
  <cp:keywords/>
  <dc:description/>
  <cp:lastModifiedBy>芦沢柚香</cp:lastModifiedBy>
  <cp:revision>15</cp:revision>
  <dcterms:created xsi:type="dcterms:W3CDTF">2026-04-16T08:13:00Z</dcterms:created>
  <dcterms:modified xsi:type="dcterms:W3CDTF">2026-04-17T08:01:00Z</dcterms:modified>
</cp:coreProperties>
</file>