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left"/>
      </w:pPr>
      <w:r>
        <w:rPr>
          <w:rFonts w:ascii="Calibri" w:cs="Calibri" w:eastAsia="Calibri" w:hAnsi="Calibri"/>
          <w:color w:val="6B9BC4"/>
          <w:sz w:val="36"/>
          <w:szCs w:val="36"/>
        </w:rPr>
        <w:t xml:space="preserve">Abstract submission</w:t>
      </w:r>
    </w:p>
    <w:p>
      <w:pPr>
        <w:shd w:fill="FFF8B5" w:val="clear"/>
        <w:spacing w:after="240"/>
        <w:jc w:val="left"/>
      </w:pPr>
      <w:r>
        <w:rPr>
          <w:rFonts w:ascii="Calibri" w:cs="Calibri" w:eastAsia="Calibri" w:hAnsi="Calibri"/>
          <w:i/>
          <w:iCs/>
          <w:sz w:val="22"/>
          <w:szCs w:val="22"/>
        </w:rPr>
        <w:t xml:space="preserve">File named: MeachenRyan_P1.docx</w:t>
      </w:r>
    </w:p>
    <w:tbl>
      <w:tblPr>
        <w:tblW w:type="dxa" w:w="9026"/>
        <w:tblBorders>
          <w:top w:val="single" w:color="D0D0D0" w:sz="4"/>
          <w:left w:val="single" w:color="D0D0D0" w:sz="4"/>
          <w:bottom w:val="single" w:color="D0D0D0" w:sz="4"/>
          <w:right w:val="single" w:color="D0D0D0" w:sz="4"/>
          <w:insideH w:val="single" w:color="D0D0D0" w:sz="4"/>
          <w:insideV w:val="single" w:color="D0D0D0" w:sz="4"/>
        </w:tblBorders>
      </w:tblPr>
      <w:tblGrid>
        <w:gridCol w:w="9026"/>
      </w:tblGrid>
      <w:tr>
        <w:trPr>
          <w:trHeight w:val="360" w:hRule="atLeast"/>
        </w:trPr>
        <w:tc>
          <w:tcPr>
            <w:tcW w:type="dxa" w:w="9026"/>
            <w:tcBorders>
              <w:top w:val="single" w:color="D0D0D0" w:sz="4"/>
              <w:left w:val="single" w:color="D0D0D0" w:sz="4"/>
              <w:bottom w:val="single" w:color="D0D0D0" w:sz="4"/>
              <w:right w:val="single" w:color="D0D0D0" w:sz="4"/>
            </w:tcBorders>
            <w:shd w:fill="E8E8E8" w:val="clear"/>
            <w:tcMar>
              <w:top w:type="dxa" w:w="100"/>
              <w:left w:type="dxa" w:w="160"/>
              <w:bottom w:type="dxa" w:w="100"/>
              <w:right w:type="dxa" w:w="160"/>
            </w:tcMar>
          </w:tcPr>
          <w:p>
            <w:pPr>
              <w:spacing w:line="276" w:lineRule="auto"/>
              <w:jc w:val="left"/>
            </w:pPr>
            <w:r>
              <w:rPr>
                <w:rFonts w:ascii="Calibri" w:cs="Calibri" w:eastAsia="Calibri" w:hAnsi="Calibri"/>
                <w:b/>
                <w:bCs/>
                <w:sz w:val="22"/>
                <w:szCs w:val="22"/>
              </w:rPr>
              <w:t xml:space="preserve">TITLE (max 15 words)</w:t>
            </w:r>
          </w:p>
        </w:tc>
      </w:tr>
    </w:tbl>
    <w:p>
      <w:pPr>
        <w:spacing w:after="240" w:before="120" w:line="360" w:lineRule="auto"/>
        <w:jc w:val="left"/>
      </w:pPr>
      <w:r>
        <w:rPr>
          <w:rFonts w:ascii="Calibri" w:cs="Calibri" w:eastAsia="Calibri" w:hAnsi="Calibri"/>
          <w:b/>
          <w:bCs/>
          <w:sz w:val="22"/>
          <w:szCs w:val="22"/>
        </w:rPr>
        <w:t xml:space="preserve">Self-Actualizing Towards What? How People Fulfil Their Potential in Career Development</w:t>
      </w:r>
    </w:p>
    <w:p>
      <w:pPr>
        <w:spacing w:after="60"/>
      </w:pPr>
      <w:r>
        <w:rPr>
          <w:rFonts w:ascii="Calibri" w:cs="Calibri" w:eastAsia="Calibri" w:hAnsi="Calibri"/>
          <w:sz w:val="12"/>
          <w:szCs w:val="12"/>
        </w:rPr>
        <w:t xml:space="preserve"/>
      </w:r>
    </w:p>
    <w:tbl>
      <w:tblPr>
        <w:tblW w:type="dxa" w:w="9026"/>
        <w:tblBorders>
          <w:top w:val="single" w:color="D0D0D0" w:sz="4"/>
          <w:left w:val="single" w:color="D0D0D0" w:sz="4"/>
          <w:bottom w:val="single" w:color="D0D0D0" w:sz="4"/>
          <w:right w:val="single" w:color="D0D0D0" w:sz="4"/>
          <w:insideH w:val="single" w:color="D0D0D0" w:sz="4"/>
          <w:insideV w:val="single" w:color="D0D0D0" w:sz="4"/>
        </w:tblBorders>
      </w:tblPr>
      <w:tblGrid>
        <w:gridCol w:w="4513"/>
        <w:gridCol w:w="4513"/>
      </w:tblGrid>
      <w:tr>
        <w:trPr>
          <w:trHeight w:val="360" w:hRule="atLeast"/>
        </w:trPr>
        <w:tc>
          <w:tcPr>
            <w:tcW w:type="dxa" w:w="4513"/>
            <w:tcBorders>
              <w:top w:val="single" w:color="D0D0D0" w:sz="4"/>
              <w:left w:val="single" w:color="D0D0D0" w:sz="4"/>
              <w:bottom w:val="single" w:color="D0D0D0" w:sz="4"/>
              <w:right w:val="single" w:color="D0D0D0" w:sz="4"/>
            </w:tcBorders>
            <w:shd w:fill="E8E8E8" w:val="clear"/>
            <w:tcMar>
              <w:top w:type="dxa" w:w="100"/>
              <w:left w:type="dxa" w:w="160"/>
              <w:bottom w:type="dxa" w:w="100"/>
              <w:right w:type="dxa" w:w="160"/>
            </w:tcMar>
          </w:tcPr>
          <w:p>
            <w:pPr>
              <w:spacing w:line="276" w:lineRule="auto"/>
              <w:jc w:val="left"/>
            </w:pPr>
            <w:r>
              <w:rPr>
                <w:rFonts w:ascii="Calibri" w:cs="Calibri" w:eastAsia="Calibri" w:hAnsi="Calibri"/>
                <w:b/>
                <w:bCs/>
                <w:sz w:val="22"/>
                <w:szCs w:val="22"/>
              </w:rPr>
              <w:t xml:space="preserve">PRESENTATION FORMAT</w:t>
            </w:r>
          </w:p>
        </w:tc>
        <w:tc>
          <w:tcPr>
            <w:tcW w:type="dxa" w:w="4513"/>
            <w:tcBorders>
              <w:top w:val="single" w:color="D0D0D0" w:sz="4"/>
              <w:left w:val="single" w:color="D0D0D0" w:sz="4"/>
              <w:bottom w:val="single" w:color="D0D0D0" w:sz="4"/>
              <w:right w:val="single" w:color="D0D0D0" w:sz="4"/>
            </w:tcBorders>
            <w:shd w:fill="E8E8E8" w:val="clear"/>
            <w:tcMar>
              <w:top w:type="dxa" w:w="100"/>
              <w:left w:type="dxa" w:w="160"/>
              <w:bottom w:type="dxa" w:w="100"/>
              <w:right w:type="dxa" w:w="160"/>
            </w:tcMar>
          </w:tcPr>
          <w:p>
            <w:pPr>
              <w:spacing w:line="276" w:lineRule="auto"/>
              <w:jc w:val="left"/>
            </w:pPr>
            <w:r>
              <w:rPr>
                <w:rFonts w:ascii="Calibri" w:cs="Calibri" w:eastAsia="Calibri" w:hAnsi="Calibri"/>
                <w:b/>
                <w:bCs/>
                <w:sz w:val="22"/>
                <w:szCs w:val="22"/>
              </w:rPr>
              <w:t xml:space="preserve">THEME</w:t>
            </w:r>
          </w:p>
        </w:tc>
      </w:tr>
    </w:tbl>
    <w:tbl>
      <w:tblPr>
        <w:tblW w:type="dxa" w:w="9026"/>
        <w:tblBorders>
          <w:top w:val="single" w:color="D0D0D0" w:sz="4"/>
          <w:left w:val="single" w:color="D0D0D0" w:sz="4"/>
          <w:bottom w:val="single" w:color="D0D0D0" w:sz="4"/>
          <w:right w:val="single" w:color="D0D0D0" w:sz="4"/>
          <w:insideH w:val="single" w:color="D0D0D0" w:sz="4"/>
          <w:insideV w:val="single" w:color="D0D0D0" w:sz="4"/>
        </w:tblBorders>
      </w:tblPr>
      <w:tblGrid>
        <w:gridCol w:w="4513"/>
        <w:gridCol w:w="4513"/>
      </w:tblGrid>
      <w:tr>
        <w:tc>
          <w:tcPr>
            <w:tcW w:type="dxa" w:w="4513"/>
            <w:tcBorders>
              <w:top w:val="single" w:color="D0D0D0" w:sz="4"/>
              <w:left w:val="single" w:color="D0D0D0" w:sz="4"/>
              <w:bottom w:val="single" w:color="D0D0D0" w:sz="4"/>
              <w:right w:val="single" w:color="D0D0D0" w:sz="4"/>
            </w:tcBorders>
            <w:tcMar>
              <w:top w:type="dxa" w:w="120"/>
              <w:left w:type="dxa" w:w="160"/>
              <w:bottom w:type="dxa" w:w="120"/>
              <w:right w:type="dxa" w:w="160"/>
            </w:tcMar>
          </w:tcPr>
          <w:p>
            <w:pPr>
              <w:spacing w:line="360" w:lineRule="auto"/>
              <w:jc w:val="left"/>
            </w:pPr>
            <w:r>
              <w:rPr>
                <w:rFonts w:ascii="Calibri" w:cs="Calibri" w:eastAsia="Calibri" w:hAnsi="Calibri"/>
                <w:sz w:val="22"/>
                <w:szCs w:val="22"/>
              </w:rPr>
              <w:t xml:space="preserve">Workshop of Practice (60 min, presentation-based with interactive Q&amp;A)</w:t>
            </w:r>
          </w:p>
        </w:tc>
        <w:tc>
          <w:tcPr>
            <w:tcW w:type="dxa" w:w="4513"/>
            <w:tcBorders>
              <w:top w:val="single" w:color="D0D0D0" w:sz="4"/>
              <w:left w:val="single" w:color="D0D0D0" w:sz="4"/>
              <w:bottom w:val="single" w:color="D0D0D0" w:sz="4"/>
              <w:right w:val="single" w:color="D0D0D0" w:sz="4"/>
            </w:tcBorders>
            <w:tcMar>
              <w:top w:type="dxa" w:w="120"/>
              <w:left w:type="dxa" w:w="160"/>
              <w:bottom w:type="dxa" w:w="120"/>
              <w:right w:type="dxa" w:w="160"/>
            </w:tcMar>
          </w:tcPr>
          <w:p>
            <w:pPr>
              <w:spacing w:line="360" w:lineRule="auto"/>
              <w:jc w:val="left"/>
            </w:pPr>
            <w:r>
              <w:rPr>
                <w:rFonts w:ascii="Calibri" w:cs="Calibri" w:eastAsia="Calibri" w:hAnsi="Calibri"/>
                <w:sz w:val="22"/>
                <w:szCs w:val="22"/>
              </w:rPr>
              <w:t xml:space="preserve">Research</w:t>
            </w:r>
          </w:p>
        </w:tc>
      </w:tr>
    </w:tbl>
    <w:p>
      <w:pPr>
        <w:spacing w:after="60"/>
      </w:pPr>
      <w:r>
        <w:rPr>
          <w:rFonts w:ascii="Calibri" w:cs="Calibri" w:eastAsia="Calibri" w:hAnsi="Calibri"/>
          <w:sz w:val="12"/>
          <w:szCs w:val="12"/>
        </w:rPr>
        <w:t xml:space="preserve"/>
      </w:r>
    </w:p>
    <w:tbl>
      <w:tblPr>
        <w:tblW w:type="dxa" w:w="9026"/>
        <w:tblBorders>
          <w:top w:val="single" w:color="D0D0D0" w:sz="4"/>
          <w:left w:val="single" w:color="D0D0D0" w:sz="4"/>
          <w:bottom w:val="single" w:color="D0D0D0" w:sz="4"/>
          <w:right w:val="single" w:color="D0D0D0" w:sz="4"/>
          <w:insideH w:val="single" w:color="D0D0D0" w:sz="4"/>
          <w:insideV w:val="single" w:color="D0D0D0" w:sz="4"/>
        </w:tblBorders>
      </w:tblPr>
      <w:tblGrid>
        <w:gridCol w:w="9026"/>
      </w:tblGrid>
      <w:tr>
        <w:trPr>
          <w:trHeight w:val="360" w:hRule="atLeast"/>
        </w:trPr>
        <w:tc>
          <w:tcPr>
            <w:tcW w:type="dxa" w:w="9026"/>
            <w:tcBorders>
              <w:top w:val="single" w:color="D0D0D0" w:sz="4"/>
              <w:left w:val="single" w:color="D0D0D0" w:sz="4"/>
              <w:bottom w:val="single" w:color="D0D0D0" w:sz="4"/>
              <w:right w:val="single" w:color="D0D0D0" w:sz="4"/>
            </w:tcBorders>
            <w:shd w:fill="E8E8E8" w:val="clear"/>
            <w:tcMar>
              <w:top w:type="dxa" w:w="100"/>
              <w:left w:type="dxa" w:w="160"/>
              <w:bottom w:type="dxa" w:w="100"/>
              <w:right w:type="dxa" w:w="160"/>
            </w:tcMar>
          </w:tcPr>
          <w:p>
            <w:pPr>
              <w:spacing w:line="276" w:lineRule="auto"/>
              <w:jc w:val="left"/>
            </w:pPr>
            <w:r>
              <w:rPr>
                <w:rFonts w:ascii="Calibri" w:cs="Calibri" w:eastAsia="Calibri" w:hAnsi="Calibri"/>
                <w:b/>
                <w:bCs/>
                <w:sz w:val="22"/>
                <w:szCs w:val="22"/>
              </w:rPr>
              <w:t xml:space="preserve">PRESENTATION LANGUAGE</w:t>
            </w:r>
          </w:p>
        </w:tc>
      </w:tr>
    </w:tbl>
    <w:p>
      <w:pPr>
        <w:spacing w:after="160" w:line="360" w:lineRule="auto"/>
        <w:jc w:val="left"/>
      </w:pPr>
      <w:r>
        <w:rPr>
          <w:rFonts w:ascii="Calibri" w:cs="Calibri" w:eastAsia="Calibri" w:hAnsi="Calibri"/>
          <w:sz w:val="22"/>
          <w:szCs w:val="22"/>
        </w:rPr>
        <w:t xml:space="preserve">English</w:t>
      </w:r>
    </w:p>
    <w:p>
      <w:pPr>
        <w:spacing w:after="60"/>
      </w:pPr>
      <w:r>
        <w:rPr>
          <w:rFonts w:ascii="Calibri" w:cs="Calibri" w:eastAsia="Calibri" w:hAnsi="Calibri"/>
          <w:sz w:val="12"/>
          <w:szCs w:val="12"/>
        </w:rPr>
        <w:t xml:space="preserve"/>
      </w:r>
    </w:p>
    <w:tbl>
      <w:tblPr>
        <w:tblW w:type="dxa" w:w="9026"/>
        <w:tblBorders>
          <w:top w:val="single" w:color="D0D0D0" w:sz="4"/>
          <w:left w:val="single" w:color="D0D0D0" w:sz="4"/>
          <w:bottom w:val="single" w:color="D0D0D0" w:sz="4"/>
          <w:right w:val="single" w:color="D0D0D0" w:sz="4"/>
          <w:insideH w:val="single" w:color="D0D0D0" w:sz="4"/>
          <w:insideV w:val="single" w:color="D0D0D0" w:sz="4"/>
        </w:tblBorders>
      </w:tblPr>
      <w:tblGrid>
        <w:gridCol w:w="9026"/>
      </w:tblGrid>
      <w:tr>
        <w:trPr>
          <w:trHeight w:val="360" w:hRule="atLeast"/>
        </w:trPr>
        <w:tc>
          <w:tcPr>
            <w:tcW w:type="dxa" w:w="9026"/>
            <w:tcBorders>
              <w:top w:val="single" w:color="D0D0D0" w:sz="4"/>
              <w:left w:val="single" w:color="D0D0D0" w:sz="4"/>
              <w:bottom w:val="single" w:color="D0D0D0" w:sz="4"/>
              <w:right w:val="single" w:color="D0D0D0" w:sz="4"/>
            </w:tcBorders>
            <w:shd w:fill="E8E8E8" w:val="clear"/>
            <w:tcMar>
              <w:top w:type="dxa" w:w="100"/>
              <w:left w:type="dxa" w:w="160"/>
              <w:bottom w:type="dxa" w:w="100"/>
              <w:right w:type="dxa" w:w="160"/>
            </w:tcMar>
          </w:tcPr>
          <w:p>
            <w:pPr>
              <w:spacing w:line="276" w:lineRule="auto"/>
              <w:jc w:val="left"/>
            </w:pPr>
            <w:r>
              <w:rPr>
                <w:rFonts w:ascii="Calibri" w:cs="Calibri" w:eastAsia="Calibri" w:hAnsi="Calibri"/>
                <w:b/>
                <w:bCs/>
                <w:sz w:val="22"/>
                <w:szCs w:val="22"/>
              </w:rPr>
              <w:t xml:space="preserve">AUTHORS</w:t>
            </w:r>
          </w:p>
        </w:tc>
      </w:tr>
    </w:tbl>
    <w:p>
      <w:pPr>
        <w:spacing w:after="120" w:before="60" w:line="360" w:lineRule="auto"/>
        <w:jc w:val="left"/>
      </w:pPr>
      <w:r>
        <w:rPr>
          <w:rFonts w:ascii="Calibri" w:cs="Calibri" w:eastAsia="Calibri" w:hAnsi="Calibri"/>
          <w:i/>
          <w:iCs/>
          <w:color w:val="666666"/>
          <w:sz w:val="20"/>
          <w:szCs w:val="20"/>
        </w:rPr>
        <w:t xml:space="preserve">Title, Name, Organisation, Position</w:t>
      </w:r>
    </w:p>
    <w:p>
      <w:pPr>
        <w:spacing w:after="160" w:line="360" w:lineRule="auto"/>
        <w:jc w:val="left"/>
      </w:pPr>
      <w:r>
        <w:rPr>
          <w:rFonts w:ascii="Calibri" w:cs="Calibri" w:eastAsia="Calibri" w:hAnsi="Calibri"/>
          <w:sz w:val="22"/>
          <w:szCs w:val="22"/>
        </w:rPr>
        <w:t xml:space="preserve">Ryan Meachen, Assistant Lecturer, School of Psychological Sciences, Te Herenga Waka—Victoria University of Wellington, ryan.meachen@vuw.ac.nz</w:t>
      </w:r>
    </w:p>
    <w:p>
      <w:pPr>
        <w:spacing w:after="60"/>
      </w:pPr>
      <w:r>
        <w:rPr>
          <w:rFonts w:ascii="Calibri" w:cs="Calibri" w:eastAsia="Calibri" w:hAnsi="Calibri"/>
          <w:sz w:val="12"/>
          <w:szCs w:val="12"/>
        </w:rPr>
        <w:t xml:space="preserve"/>
      </w:r>
    </w:p>
    <w:tbl>
      <w:tblPr>
        <w:tblW w:type="dxa" w:w="9026"/>
        <w:tblBorders>
          <w:top w:val="single" w:color="D0D0D0" w:sz="4"/>
          <w:left w:val="single" w:color="D0D0D0" w:sz="4"/>
          <w:bottom w:val="single" w:color="D0D0D0" w:sz="4"/>
          <w:right w:val="single" w:color="D0D0D0" w:sz="4"/>
          <w:insideH w:val="single" w:color="D0D0D0" w:sz="4"/>
          <w:insideV w:val="single" w:color="D0D0D0" w:sz="4"/>
        </w:tblBorders>
      </w:tblPr>
      <w:tblGrid>
        <w:gridCol w:w="9026"/>
      </w:tblGrid>
      <w:tr>
        <w:trPr>
          <w:trHeight w:val="360" w:hRule="atLeast"/>
        </w:trPr>
        <w:tc>
          <w:tcPr>
            <w:tcW w:type="dxa" w:w="9026"/>
            <w:tcBorders>
              <w:top w:val="single" w:color="D0D0D0" w:sz="4"/>
              <w:left w:val="single" w:color="D0D0D0" w:sz="4"/>
              <w:bottom w:val="single" w:color="D0D0D0" w:sz="4"/>
              <w:right w:val="single" w:color="D0D0D0" w:sz="4"/>
            </w:tcBorders>
            <w:shd w:fill="E8E8E8" w:val="clear"/>
            <w:tcMar>
              <w:top w:type="dxa" w:w="100"/>
              <w:left w:type="dxa" w:w="160"/>
              <w:bottom w:type="dxa" w:w="100"/>
              <w:right w:type="dxa" w:w="160"/>
            </w:tcMar>
          </w:tcPr>
          <w:p>
            <w:pPr>
              <w:spacing w:line="276" w:lineRule="auto"/>
              <w:jc w:val="left"/>
            </w:pPr>
            <w:r>
              <w:rPr>
                <w:rFonts w:ascii="Calibri" w:cs="Calibri" w:eastAsia="Calibri" w:hAnsi="Calibri"/>
                <w:b/>
                <w:bCs/>
                <w:sz w:val="22"/>
                <w:szCs w:val="22"/>
              </w:rPr>
              <w:t xml:space="preserve">AUTHORS BIO (max 400 words)</w:t>
            </w:r>
          </w:p>
        </w:tc>
      </w:tr>
    </w:tbl>
    <w:p>
      <w:pPr>
        <w:spacing w:after="160" w:line="360" w:lineRule="auto"/>
        <w:ind w:firstLine="0"/>
        <w:jc w:val="both"/>
      </w:pPr>
      <w:r>
        <w:rPr>
          <w:rFonts w:ascii="Calibri" w:cs="Calibri" w:eastAsia="Calibri" w:hAnsi="Calibri"/>
          <w:sz w:val="22"/>
          <w:szCs w:val="22"/>
        </w:rPr>
        <w:t xml:space="preserve">Ryan Meachen (Ngāti Te Wehi, Ngāti Huia ki Poroutawhao) is a scholar-practitioner working at the intersection of organisational psychology, positive psychology, career coaching, and leadership development. He is an Assistant Lecturer in the School of Psychological Sciences at Te Herenga Waka—Victoria University of Wellington. His PhD in Organisational Behaviour developed Ideal-Self-Actualization—a novel construct and measure that reconceptualises self-actualization as the pursuit of one's ideal self—tested across a three-wave, six-month longitudinal study of employed adults. In 2024–2025 he was a Fulbright Scholar and Associate Research Fellow at Harvard Kennedy School's Leadership and Happiness Laboratory under Professor Arthur Brooks. In 2026 he appeared on the Oprah Podcast, discussing his Harvard research with Arthur Brooks and joining Brooks in conversation about meaning in life. Alongside his academic work, Ryan is a certified positive psychology coach trained under Robert Biswas-Diener and Christian van Nieuwerburgh, and a Senior Consultant at Continuum Consulting Group in Wellington, where his practice focuses on leadership development, professional coaching, and organisational wellbeing across the public and private sectors. He holds an MBA from Victoria University of Wellington, a BSc in Geography and Public Policy, and Te Ronakitanga ki te Reo Kairangi from Te Wānanga o Aotearoa. His work is focused on building a psychology of human potential that is scientifically rigorous and practically useful.</w:t>
      </w:r>
    </w:p>
    <w:p>
      <w:pPr>
        <w:spacing w:after="60"/>
      </w:pPr>
      <w:r>
        <w:rPr>
          <w:rFonts w:ascii="Calibri" w:cs="Calibri" w:eastAsia="Calibri" w:hAnsi="Calibri"/>
          <w:sz w:val="12"/>
          <w:szCs w:val="12"/>
        </w:rPr>
        <w:t xml:space="preserve"/>
      </w:r>
    </w:p>
    <w:tbl>
      <w:tblPr>
        <w:tblW w:type="dxa" w:w="9026"/>
        <w:tblBorders>
          <w:top w:val="single" w:color="D0D0D0" w:sz="4"/>
          <w:left w:val="single" w:color="D0D0D0" w:sz="4"/>
          <w:bottom w:val="single" w:color="D0D0D0" w:sz="4"/>
          <w:right w:val="single" w:color="D0D0D0" w:sz="4"/>
          <w:insideH w:val="single" w:color="D0D0D0" w:sz="4"/>
          <w:insideV w:val="single" w:color="D0D0D0" w:sz="4"/>
        </w:tblBorders>
      </w:tblPr>
      <w:tblGrid>
        <w:gridCol w:w="9026"/>
      </w:tblGrid>
      <w:tr>
        <w:trPr>
          <w:trHeight w:val="360" w:hRule="atLeast"/>
        </w:trPr>
        <w:tc>
          <w:tcPr>
            <w:tcW w:type="dxa" w:w="9026"/>
            <w:tcBorders>
              <w:top w:val="single" w:color="D0D0D0" w:sz="4"/>
              <w:left w:val="single" w:color="D0D0D0" w:sz="4"/>
              <w:bottom w:val="single" w:color="D0D0D0" w:sz="4"/>
              <w:right w:val="single" w:color="D0D0D0" w:sz="4"/>
            </w:tcBorders>
            <w:shd w:fill="E8E8E8" w:val="clear"/>
            <w:tcMar>
              <w:top w:type="dxa" w:w="100"/>
              <w:left w:type="dxa" w:w="160"/>
              <w:bottom w:type="dxa" w:w="100"/>
              <w:right w:type="dxa" w:w="160"/>
            </w:tcMar>
          </w:tcPr>
          <w:p>
            <w:pPr>
              <w:spacing w:line="276" w:lineRule="auto"/>
              <w:jc w:val="left"/>
            </w:pPr>
            <w:r>
              <w:rPr>
                <w:rFonts w:ascii="Calibri" w:cs="Calibri" w:eastAsia="Calibri" w:hAnsi="Calibri"/>
                <w:b/>
                <w:bCs/>
                <w:sz w:val="22"/>
                <w:szCs w:val="22"/>
              </w:rPr>
              <w:t xml:space="preserve">ABSTRACT (max 600 words)</w:t>
            </w:r>
          </w:p>
        </w:tc>
      </w:tr>
    </w:tbl>
    <w:p>
      <w:pPr>
        <w:spacing w:after="120" w:before="60" w:line="360" w:lineRule="auto"/>
        <w:jc w:val="left"/>
      </w:pPr>
      <w:r>
        <w:rPr>
          <w:rFonts w:ascii="Calibri" w:cs="Calibri" w:eastAsia="Calibri" w:hAnsi="Calibri"/>
          <w:i/>
          <w:iCs/>
          <w:color w:val="666666"/>
          <w:sz w:val="20"/>
          <w:szCs w:val="20"/>
        </w:rPr>
        <w:t xml:space="preserve">introduction, objectives, theoretical basis, methodology, results, conclusions and bibliographical references. Specify the content, target audience, and the format of the workshop (interactive, presentation-based, or experiential)</w:t>
      </w:r>
    </w:p>
    <w:p>
      <w:pPr>
        <w:spacing w:after="160" w:line="360" w:lineRule="auto"/>
        <w:ind w:firstLine="0"/>
        <w:jc w:val="both"/>
      </w:pPr>
      <w:r>
        <w:rPr>
          <w:rFonts w:ascii="Calibri" w:cs="Calibri" w:eastAsia="Calibri" w:hAnsi="Calibri"/>
          <w:sz w:val="22"/>
          <w:szCs w:val="22"/>
        </w:rPr>
        <w:t xml:space="preserve">Introduction. The ancestors of Aotearoa navigated toward these lands by stars they could see on the horizon. Career development often asks people to navigate by something that cannot be seen or known: our potential. The idea of self-actualization has been psychology's attempt to chart the course for how individuals fulfil their potential (Goldstein, 1934; Maslow, 1943, 1971; Rogers, 1961; Kaufman, 2020). But one question has never been clearly answered—actualizing towards what? What is it we navigate toward when we try to fulfil our potential? Without answers, individuals are left with no guide for realizing their potential, no map for navigating towards who they could become, and no star to steer by.</w:t>
      </w:r>
    </w:p>
    <w:p>
      <w:pPr>
        <w:spacing w:after="160" w:line="360" w:lineRule="auto"/>
        <w:ind w:firstLine="0"/>
        <w:jc w:val="both"/>
      </w:pPr>
      <w:r>
        <w:rPr>
          <w:rFonts w:ascii="Calibri" w:cs="Calibri" w:eastAsia="Calibri" w:hAnsi="Calibri"/>
          <w:sz w:val="22"/>
          <w:szCs w:val="22"/>
        </w:rPr>
        <w:t xml:space="preserve">Objectives. This workshop introduces career guidance researchers and practitioners to a research-based framework for two questions: what guides ideal-self-actualization (ISA), and how ISA unfolds as a developmental process. By the end, participants will (a) understand how the Ideal Self can serve as our 'North Star' for self-actualization, (b) situate the Ideal Self within the broader landscape of possible selves (real, ideal, ought, feared, provisional), and (c) see how the ISA cycle can be translated into their own career guidance practice with clients across life and career transitions.</w:t>
      </w:r>
    </w:p>
    <w:p>
      <w:pPr>
        <w:spacing w:after="160" w:line="360" w:lineRule="auto"/>
        <w:ind w:firstLine="0"/>
        <w:jc w:val="both"/>
      </w:pPr>
      <w:r>
        <w:rPr>
          <w:rFonts w:ascii="Calibri" w:cs="Calibri" w:eastAsia="Calibri" w:hAnsi="Calibri"/>
          <w:sz w:val="22"/>
          <w:szCs w:val="22"/>
        </w:rPr>
        <w:t xml:space="preserve">Theoretical basis. The workshop rests on an integration of three literatures: the self-actualization tradition (Goldstein through Kaufman), the self-discrepancy and possible selves frameworks (Higgins, 1987; Markus &amp; Nurius, 1986), and Intentional Change Theory (Boyatzis, 2006, 2024). I ground this integration in a constructivist reorientation of self-actualization, where individuals realize their potential—not through expression of an innate true self, but through enacting and growing towards their ideal self. The Ideal Self—comprising one's sense of purpose or calling, core values, and key relationships—is dynamic, shifting across the seasons of life (Boyatzis &amp; Dhar, 2022; Levinson, 1978). From this foundation I develop the ISA cycle: a six-stage extension of Intentional Change Theory through which individuals move from aspiration to self-actualization.</w:t>
      </w:r>
    </w:p>
    <w:p>
      <w:pPr>
        <w:spacing w:after="160" w:line="360" w:lineRule="auto"/>
        <w:ind w:firstLine="0"/>
        <w:jc w:val="both"/>
      </w:pPr>
      <w:r>
        <w:rPr>
          <w:rFonts w:ascii="Calibri" w:cs="Calibri" w:eastAsia="Calibri" w:hAnsi="Calibri"/>
          <w:sz w:val="22"/>
          <w:szCs w:val="22"/>
        </w:rPr>
        <w:t xml:space="preserve">Methodology. A three-wave, six-month longitudinal study of 248 employed adults in the United States developed and validated the Ideal-Self-Actualization Scale alongside established measures of eudaimonic wellbeing, characteristics of self-actualization, life satisfaction, and work engagement. The workshop itself is presentation-based (75% conceptual input, 25% interactive Q&amp;A), walking participants through a brief history of self-actualization, the possible selves people use as guides when navigating towards their future, and the ISA cycle.</w:t>
      </w:r>
    </w:p>
    <w:p>
      <w:pPr>
        <w:spacing w:after="160" w:line="360" w:lineRule="auto"/>
        <w:ind w:firstLine="0"/>
        <w:jc w:val="both"/>
      </w:pPr>
      <w:r>
        <w:rPr>
          <w:rFonts w:ascii="Calibri" w:cs="Calibri" w:eastAsia="Calibri" w:hAnsi="Calibri"/>
          <w:sz w:val="22"/>
          <w:szCs w:val="22"/>
        </w:rPr>
        <w:t xml:space="preserve">Results. The research demonstrates that ISA explains 11–12% unique variance in life satisfaction beyond eudaimonic wellbeing and characteristics of self-actualization, and predicts life satisfaction six months later (β = .32). A second finding—that sustained work engagement predicts subsequent growth in work-related Ideal-Self-Actualization (β = .25–.37), but not the reverse—supports a "doing fosters becoming" principle with direct implications for how career guidance sequences vision and action.</w:t>
      </w:r>
    </w:p>
    <w:p>
      <w:pPr>
        <w:spacing w:after="160" w:line="360" w:lineRule="auto"/>
        <w:ind w:firstLine="0"/>
        <w:jc w:val="both"/>
      </w:pPr>
      <w:r>
        <w:rPr>
          <w:rFonts w:ascii="Calibri" w:cs="Calibri" w:eastAsia="Calibri" w:hAnsi="Calibri"/>
          <w:sz w:val="22"/>
          <w:szCs w:val="22"/>
        </w:rPr>
        <w:t xml:space="preserve">Conclusions. The field has long asked people to navigate toward their potential without telling them what to navigate by. This workshop offers both—a North Star for guiding toward one's potential, and a process for self-actualization. I present a theoretically integrated and empirically grounded framework that practitioners can adapt for clients navigating life and career transitions. Our potential is not a fixed destination. The Ideal Self is the star we steer by as we navigate toward future horizons.</w:t>
      </w:r>
    </w:p>
    <w:p>
      <w:pPr>
        <w:spacing w:after="160" w:line="360" w:lineRule="auto"/>
        <w:ind w:firstLine="0"/>
        <w:jc w:val="both"/>
      </w:pPr>
      <w:r>
        <w:rPr>
          <w:rFonts w:ascii="Calibri" w:cs="Calibri" w:eastAsia="Calibri" w:hAnsi="Calibri"/>
          <w:sz w:val="22"/>
          <w:szCs w:val="22"/>
        </w:rPr>
        <w:t xml:space="preserve">Content, target audience, and format. Content covers a brief history of self-actualization, the possible selves people use to navigate towards their future, and the ISA cycle. The target audience is career development researchers, practitioners, counsellors, and educators working with individuals across career transitions. The format is presentation-based with interactive Q&amp;A and structured reflection.</w:t>
      </w:r>
    </w:p>
    <w:p>
      <w:pPr>
        <w:spacing w:after="60"/>
      </w:pPr>
      <w:r>
        <w:rPr>
          <w:rFonts w:ascii="Calibri" w:cs="Calibri" w:eastAsia="Calibri" w:hAnsi="Calibri"/>
          <w:sz w:val="12"/>
          <w:szCs w:val="12"/>
        </w:rPr>
        <w:t xml:space="preserve"/>
      </w:r>
    </w:p>
    <w:tbl>
      <w:tblPr>
        <w:tblW w:type="dxa" w:w="9026"/>
        <w:tblBorders>
          <w:top w:val="single" w:color="D0D0D0" w:sz="4"/>
          <w:left w:val="single" w:color="D0D0D0" w:sz="4"/>
          <w:bottom w:val="single" w:color="D0D0D0" w:sz="4"/>
          <w:right w:val="single" w:color="D0D0D0" w:sz="4"/>
          <w:insideH w:val="single" w:color="D0D0D0" w:sz="4"/>
          <w:insideV w:val="single" w:color="D0D0D0" w:sz="4"/>
        </w:tblBorders>
      </w:tblPr>
      <w:tblGrid>
        <w:gridCol w:w="9026"/>
      </w:tblGrid>
      <w:tr>
        <w:trPr>
          <w:trHeight w:val="360" w:hRule="atLeast"/>
        </w:trPr>
        <w:tc>
          <w:tcPr>
            <w:tcW w:type="dxa" w:w="9026"/>
            <w:tcBorders>
              <w:top w:val="single" w:color="D0D0D0" w:sz="4"/>
              <w:left w:val="single" w:color="D0D0D0" w:sz="4"/>
              <w:bottom w:val="single" w:color="D0D0D0" w:sz="4"/>
              <w:right w:val="single" w:color="D0D0D0" w:sz="4"/>
            </w:tcBorders>
            <w:shd w:fill="E8E8E8" w:val="clear"/>
            <w:tcMar>
              <w:top w:type="dxa" w:w="100"/>
              <w:left w:type="dxa" w:w="160"/>
              <w:bottom w:type="dxa" w:w="100"/>
              <w:right w:type="dxa" w:w="160"/>
            </w:tcMar>
          </w:tcPr>
          <w:p>
            <w:pPr>
              <w:spacing w:line="276" w:lineRule="auto"/>
              <w:jc w:val="left"/>
            </w:pPr>
            <w:r>
              <w:rPr>
                <w:rFonts w:ascii="Calibri" w:cs="Calibri" w:eastAsia="Calibri" w:hAnsi="Calibri"/>
                <w:b/>
                <w:bCs/>
                <w:sz w:val="22"/>
                <w:szCs w:val="22"/>
              </w:rPr>
              <w:t xml:space="preserve">KEYWORDS (3-5 words)</w:t>
            </w:r>
          </w:p>
        </w:tc>
      </w:tr>
    </w:tbl>
    <w:p>
      <w:pPr>
        <w:spacing w:after="160" w:line="360" w:lineRule="auto"/>
        <w:jc w:val="left"/>
      </w:pPr>
      <w:r>
        <w:rPr>
          <w:rFonts w:ascii="Calibri" w:cs="Calibri" w:eastAsia="Calibri" w:hAnsi="Calibri"/>
          <w:sz w:val="22"/>
          <w:szCs w:val="22"/>
        </w:rPr>
        <w:t xml:space="preserve">Self-actualization; Ideal self; Possible selves; Career development; Human potential</w:t>
      </w:r>
    </w:p>
    <w:p>
      <w:pPr>
        <w:spacing w:after="60"/>
      </w:pPr>
      <w:r>
        <w:rPr>
          <w:rFonts w:ascii="Calibri" w:cs="Calibri" w:eastAsia="Calibri" w:hAnsi="Calibri"/>
          <w:sz w:val="12"/>
          <w:szCs w:val="12"/>
        </w:rPr>
        <w:t xml:space="preserve"/>
      </w:r>
    </w:p>
    <w:tbl>
      <w:tblPr>
        <w:tblW w:type="dxa" w:w="9026"/>
        <w:tblBorders>
          <w:top w:val="single" w:color="D0D0D0" w:sz="4"/>
          <w:left w:val="single" w:color="D0D0D0" w:sz="4"/>
          <w:bottom w:val="single" w:color="D0D0D0" w:sz="4"/>
          <w:right w:val="single" w:color="D0D0D0" w:sz="4"/>
          <w:insideH w:val="single" w:color="D0D0D0" w:sz="4"/>
          <w:insideV w:val="single" w:color="D0D0D0" w:sz="4"/>
        </w:tblBorders>
      </w:tblPr>
      <w:tblGrid>
        <w:gridCol w:w="9026"/>
      </w:tblGrid>
      <w:tr>
        <w:trPr>
          <w:trHeight w:val="360" w:hRule="atLeast"/>
        </w:trPr>
        <w:tc>
          <w:tcPr>
            <w:tcW w:type="dxa" w:w="9026"/>
            <w:tcBorders>
              <w:top w:val="single" w:color="D0D0D0" w:sz="4"/>
              <w:left w:val="single" w:color="D0D0D0" w:sz="4"/>
              <w:bottom w:val="single" w:color="D0D0D0" w:sz="4"/>
              <w:right w:val="single" w:color="D0D0D0" w:sz="4"/>
            </w:tcBorders>
            <w:shd w:fill="E8E8E8" w:val="clear"/>
            <w:tcMar>
              <w:top w:type="dxa" w:w="100"/>
              <w:left w:type="dxa" w:w="160"/>
              <w:bottom w:type="dxa" w:w="100"/>
              <w:right w:type="dxa" w:w="160"/>
            </w:tcMar>
          </w:tcPr>
          <w:p>
            <w:pPr>
              <w:spacing w:line="276" w:lineRule="auto"/>
              <w:jc w:val="left"/>
            </w:pPr>
            <w:r>
              <w:rPr>
                <w:rFonts w:ascii="Calibri" w:cs="Calibri" w:eastAsia="Calibri" w:hAnsi="Calibri"/>
                <w:b/>
                <w:bCs/>
                <w:sz w:val="22"/>
                <w:szCs w:val="22"/>
              </w:rPr>
              <w:t xml:space="preserve">BIBLIOGRAPHIC REFERENCES</w:t>
            </w:r>
          </w:p>
        </w:tc>
      </w:tr>
    </w:tbl>
    <w:p>
      <w:pPr>
        <w:spacing w:after="120" w:line="360" w:lineRule="auto"/>
        <w:ind w:left="720" w:hanging="720"/>
        <w:jc w:val="left"/>
      </w:pPr>
      <w:r>
        <w:rPr>
          <w:rFonts w:ascii="Calibri" w:cs="Calibri" w:eastAsia="Calibri" w:hAnsi="Calibri"/>
          <w:sz w:val="22"/>
          <w:szCs w:val="22"/>
        </w:rPr>
        <w:t xml:space="preserve">Boyatzis, R. E. (2006). An overview of intentional change from a complexity perspective. Journal of Management Development, 25(7), 607–623. https://doi.org/10.1108/02621710610678445</w:t>
      </w:r>
    </w:p>
    <w:p>
      <w:pPr>
        <w:spacing w:after="120" w:line="360" w:lineRule="auto"/>
        <w:ind w:left="720" w:hanging="720"/>
        <w:jc w:val="left"/>
      </w:pPr>
      <w:r>
        <w:rPr>
          <w:rFonts w:ascii="Calibri" w:cs="Calibri" w:eastAsia="Calibri" w:hAnsi="Calibri"/>
          <w:sz w:val="22"/>
          <w:szCs w:val="22"/>
        </w:rPr>
        <w:t xml:space="preserve">Boyatzis, R. E. (2024). The science of change: Discovering yourself in transition. Oxford University Press.</w:t>
      </w:r>
    </w:p>
    <w:p>
      <w:pPr>
        <w:spacing w:after="120" w:line="360" w:lineRule="auto"/>
        <w:ind w:left="720" w:hanging="720"/>
        <w:jc w:val="left"/>
      </w:pPr>
      <w:r>
        <w:rPr>
          <w:rFonts w:ascii="Calibri" w:cs="Calibri" w:eastAsia="Calibri" w:hAnsi="Calibri"/>
          <w:sz w:val="22"/>
          <w:szCs w:val="22"/>
        </w:rPr>
        <w:t xml:space="preserve">Boyatzis, R. E., &amp; Dhar, U. (2022). Dynamics of the ideal self. Journal of Management Development, 41(1), 1–9. https://doi.org/10.1108/JMD-09-2021-0247</w:t>
      </w:r>
    </w:p>
    <w:p>
      <w:pPr>
        <w:spacing w:after="120" w:line="360" w:lineRule="auto"/>
        <w:ind w:left="720" w:hanging="720"/>
        <w:jc w:val="left"/>
      </w:pPr>
      <w:r>
        <w:rPr>
          <w:rFonts w:ascii="Calibri" w:cs="Calibri" w:eastAsia="Calibri" w:hAnsi="Calibri"/>
          <w:sz w:val="22"/>
          <w:szCs w:val="22"/>
        </w:rPr>
        <w:t xml:space="preserve">Goldstein, K. (1934). Der Aufbau des Organismus. Martinus Nijhoff.</w:t>
      </w:r>
    </w:p>
    <w:p>
      <w:pPr>
        <w:spacing w:after="120" w:line="360" w:lineRule="auto"/>
        <w:ind w:left="720" w:hanging="720"/>
        <w:jc w:val="left"/>
      </w:pPr>
      <w:r>
        <w:rPr>
          <w:rFonts w:ascii="Calibri" w:cs="Calibri" w:eastAsia="Calibri" w:hAnsi="Calibri"/>
          <w:sz w:val="22"/>
          <w:szCs w:val="22"/>
        </w:rPr>
        <w:t xml:space="preserve">Higgins, E. T. (1987). Self-discrepancy: A theory relating self and affect. Psychological Review, 94(3), 319–340. https://doi.org/10.1037/0033-295X.94.3.319</w:t>
      </w:r>
    </w:p>
    <w:p>
      <w:pPr>
        <w:spacing w:after="120" w:line="360" w:lineRule="auto"/>
        <w:ind w:left="720" w:hanging="720"/>
        <w:jc w:val="left"/>
      </w:pPr>
      <w:r>
        <w:rPr>
          <w:rFonts w:ascii="Calibri" w:cs="Calibri" w:eastAsia="Calibri" w:hAnsi="Calibri"/>
          <w:sz w:val="22"/>
          <w:szCs w:val="22"/>
        </w:rPr>
        <w:t xml:space="preserve">Kaufman, S. B. (2020). Transcend: The new science of self-actualization. TarcherPerigee.</w:t>
      </w:r>
    </w:p>
    <w:p>
      <w:pPr>
        <w:spacing w:after="120" w:line="360" w:lineRule="auto"/>
        <w:ind w:left="720" w:hanging="720"/>
        <w:jc w:val="left"/>
      </w:pPr>
      <w:r>
        <w:rPr>
          <w:rFonts w:ascii="Calibri" w:cs="Calibri" w:eastAsia="Calibri" w:hAnsi="Calibri"/>
          <w:sz w:val="22"/>
          <w:szCs w:val="22"/>
        </w:rPr>
        <w:t xml:space="preserve">Levinson, D. J. (1978). The seasons of a man's life. Knopf.</w:t>
      </w:r>
    </w:p>
    <w:p>
      <w:pPr>
        <w:spacing w:after="120" w:line="360" w:lineRule="auto"/>
        <w:ind w:left="720" w:hanging="720"/>
        <w:jc w:val="left"/>
      </w:pPr>
      <w:r>
        <w:rPr>
          <w:rFonts w:ascii="Calibri" w:cs="Calibri" w:eastAsia="Calibri" w:hAnsi="Calibri"/>
          <w:sz w:val="22"/>
          <w:szCs w:val="22"/>
        </w:rPr>
        <w:t xml:space="preserve">Markus, H., &amp; Nurius, P. (1986). Possible selves. American Psychologist, 41(9), 954–969. https://doi.org/10.1037/0003-066X.41.9.954</w:t>
      </w:r>
    </w:p>
    <w:p>
      <w:pPr>
        <w:spacing w:after="120" w:line="360" w:lineRule="auto"/>
        <w:ind w:left="720" w:hanging="720"/>
        <w:jc w:val="left"/>
      </w:pPr>
      <w:r>
        <w:rPr>
          <w:rFonts w:ascii="Calibri" w:cs="Calibri" w:eastAsia="Calibri" w:hAnsi="Calibri"/>
          <w:sz w:val="22"/>
          <w:szCs w:val="22"/>
        </w:rPr>
        <w:t xml:space="preserve">Maslow, A. H. (1943). A theory of human motivation. Psychological Review, 50(4), 370–396. https://doi.org/10.1037/h0054346</w:t>
      </w:r>
    </w:p>
    <w:p>
      <w:pPr>
        <w:spacing w:after="120" w:line="360" w:lineRule="auto"/>
        <w:ind w:left="720" w:hanging="720"/>
        <w:jc w:val="left"/>
      </w:pPr>
      <w:r>
        <w:rPr>
          <w:rFonts w:ascii="Calibri" w:cs="Calibri" w:eastAsia="Calibri" w:hAnsi="Calibri"/>
          <w:sz w:val="22"/>
          <w:szCs w:val="22"/>
        </w:rPr>
        <w:t xml:space="preserve">Maslow, A. H. (1971). The farther reaches of human nature. Viking Press.</w:t>
      </w:r>
    </w:p>
    <w:p>
      <w:pPr>
        <w:spacing w:after="120" w:line="360" w:lineRule="auto"/>
        <w:ind w:left="720" w:hanging="720"/>
        <w:jc w:val="left"/>
      </w:pPr>
      <w:r>
        <w:rPr>
          <w:rFonts w:ascii="Calibri" w:cs="Calibri" w:eastAsia="Calibri" w:hAnsi="Calibri"/>
          <w:sz w:val="22"/>
          <w:szCs w:val="22"/>
        </w:rPr>
        <w:t xml:space="preserve">Rogers, C. R. (1961). On becoming a person: A therapist's view of psychotherapy. Houghton Mifflin.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2026-04-17T04:27:38.537Z</dcterms:created>
  <dcterms:modified xsi:type="dcterms:W3CDTF">2026-04-17T04:27:38.537Z</dcterms:modified>
</cp:coreProperties>
</file>

<file path=docProps/custom.xml><?xml version="1.0" encoding="utf-8"?>
<Properties xmlns="http://schemas.openxmlformats.org/officeDocument/2006/custom-properties" xmlns:vt="http://schemas.openxmlformats.org/officeDocument/2006/docPropsVTypes"/>
</file>