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9F7A" w14:textId="77777777" w:rsidR="003C3F33" w:rsidRPr="00535FE0" w:rsidRDefault="00000000">
      <w:pPr>
        <w:pStyle w:val="DocTitle"/>
        <w:rPr>
          <w:rFonts w:asciiTheme="majorHAnsi" w:hAnsiTheme="majorHAnsi" w:cstheme="majorHAnsi"/>
          <w:sz w:val="22"/>
        </w:rPr>
      </w:pPr>
      <w:r w:rsidRPr="00535FE0">
        <w:rPr>
          <w:rFonts w:asciiTheme="majorHAnsi" w:hAnsiTheme="majorHAnsi" w:cstheme="majorHAnsi"/>
          <w:sz w:val="22"/>
        </w:rPr>
        <w:t>Career Compass Cards™ for Identity, Well-Being, and Reflective Career Guidance</w:t>
      </w:r>
    </w:p>
    <w:p w14:paraId="59A8D81F" w14:textId="77777777" w:rsidR="003C3F33" w:rsidRPr="00535FE0" w:rsidRDefault="00000000">
      <w:pPr>
        <w:spacing w:after="20"/>
        <w:jc w:val="left"/>
        <w:rPr>
          <w:rFonts w:asciiTheme="majorHAnsi" w:hAnsiTheme="majorHAnsi" w:cstheme="majorHAnsi"/>
        </w:rPr>
      </w:pPr>
      <w:r w:rsidRPr="00535FE0">
        <w:rPr>
          <w:rFonts w:asciiTheme="majorHAnsi" w:hAnsiTheme="majorHAnsi" w:cstheme="majorHAnsi"/>
          <w:b/>
        </w:rPr>
        <w:t xml:space="preserve">Family name and first name of the first contributor/author: </w:t>
      </w:r>
      <w:r w:rsidRPr="00535FE0">
        <w:rPr>
          <w:rFonts w:asciiTheme="majorHAnsi" w:hAnsiTheme="majorHAnsi" w:cstheme="majorHAnsi"/>
        </w:rPr>
        <w:t>Lee, Jason</w:t>
      </w:r>
    </w:p>
    <w:p w14:paraId="3D77FE12" w14:textId="0FB4369D" w:rsidR="003C3F33" w:rsidRPr="00535FE0" w:rsidRDefault="00000000">
      <w:pPr>
        <w:spacing w:after="20"/>
        <w:jc w:val="left"/>
        <w:rPr>
          <w:rFonts w:asciiTheme="majorHAnsi" w:hAnsiTheme="majorHAnsi" w:cstheme="majorHAnsi"/>
          <w:lang w:eastAsia="zh-TW"/>
        </w:rPr>
      </w:pPr>
      <w:r w:rsidRPr="00535FE0">
        <w:rPr>
          <w:rFonts w:asciiTheme="majorHAnsi" w:hAnsiTheme="majorHAnsi" w:cstheme="majorHAnsi"/>
          <w:b/>
        </w:rPr>
        <w:t xml:space="preserve">Title/position of the first contributor/author: </w:t>
      </w:r>
      <w:r w:rsidR="00C171F5" w:rsidRPr="00535FE0">
        <w:rPr>
          <w:rFonts w:asciiTheme="majorHAnsi" w:hAnsiTheme="majorHAnsi" w:cstheme="majorHAnsi"/>
          <w:lang w:eastAsia="zh-TW"/>
        </w:rPr>
        <w:t>Corporate Coach / Career Development Expert</w:t>
      </w:r>
    </w:p>
    <w:p w14:paraId="3F5AC617" w14:textId="6530CE53" w:rsidR="003C3F33" w:rsidRPr="00535FE0" w:rsidRDefault="00000000">
      <w:pPr>
        <w:spacing w:after="20"/>
        <w:jc w:val="left"/>
        <w:rPr>
          <w:rFonts w:asciiTheme="majorHAnsi" w:hAnsiTheme="majorHAnsi" w:cstheme="majorHAnsi"/>
          <w:lang w:eastAsia="zh-TW"/>
        </w:rPr>
      </w:pPr>
      <w:r w:rsidRPr="00535FE0">
        <w:rPr>
          <w:rFonts w:asciiTheme="majorHAnsi" w:hAnsiTheme="majorHAnsi" w:cstheme="majorHAnsi"/>
          <w:b/>
        </w:rPr>
        <w:t xml:space="preserve">E-mail of the first contributor/author: </w:t>
      </w:r>
      <w:r w:rsidR="00C171F5" w:rsidRPr="00535FE0">
        <w:rPr>
          <w:rFonts w:asciiTheme="majorHAnsi" w:hAnsiTheme="majorHAnsi" w:cstheme="majorHAnsi"/>
          <w:lang w:eastAsia="zh-TW"/>
        </w:rPr>
        <w:t>jason@jasonzecklee.com</w:t>
      </w:r>
    </w:p>
    <w:p w14:paraId="186E3A1F" w14:textId="03FCFE8E" w:rsidR="003C3F33" w:rsidRPr="00535FE0" w:rsidRDefault="00000000">
      <w:pPr>
        <w:spacing w:after="20"/>
        <w:jc w:val="left"/>
        <w:rPr>
          <w:rFonts w:asciiTheme="majorHAnsi" w:hAnsiTheme="majorHAnsi" w:cstheme="majorHAnsi"/>
          <w:lang w:eastAsia="zh-TW"/>
        </w:rPr>
      </w:pPr>
      <w:r w:rsidRPr="00535FE0">
        <w:rPr>
          <w:rFonts w:asciiTheme="majorHAnsi" w:hAnsiTheme="majorHAnsi" w:cstheme="majorHAnsi"/>
          <w:b/>
        </w:rPr>
        <w:t xml:space="preserve">Institution to which the first contributor/author belongs: </w:t>
      </w:r>
      <w:r w:rsidR="00C171F5" w:rsidRPr="00535FE0">
        <w:rPr>
          <w:rFonts w:asciiTheme="majorHAnsi" w:hAnsiTheme="majorHAnsi" w:cstheme="majorHAnsi"/>
          <w:lang w:eastAsia="zh-TW"/>
        </w:rPr>
        <w:t>ZECK Academy</w:t>
      </w:r>
    </w:p>
    <w:p w14:paraId="57B881F7" w14:textId="1C4DE8F6" w:rsidR="003C3F33" w:rsidRPr="00535FE0" w:rsidRDefault="00000000">
      <w:pPr>
        <w:spacing w:after="20"/>
        <w:jc w:val="left"/>
        <w:rPr>
          <w:rFonts w:asciiTheme="majorHAnsi" w:hAnsiTheme="majorHAnsi" w:cstheme="majorHAnsi"/>
          <w:lang w:eastAsia="zh-TW"/>
        </w:rPr>
      </w:pPr>
      <w:r w:rsidRPr="00535FE0">
        <w:rPr>
          <w:rFonts w:asciiTheme="majorHAnsi" w:hAnsiTheme="majorHAnsi" w:cstheme="majorHAnsi"/>
          <w:b/>
        </w:rPr>
        <w:t xml:space="preserve">Family name, first name, institution and title/position of presenters at the conference: </w:t>
      </w:r>
      <w:r w:rsidRPr="00535FE0">
        <w:rPr>
          <w:rFonts w:asciiTheme="majorHAnsi" w:hAnsiTheme="majorHAnsi" w:cstheme="majorHAnsi"/>
        </w:rPr>
        <w:t xml:space="preserve">Lee, Jason, </w:t>
      </w:r>
      <w:r w:rsidR="00C171F5" w:rsidRPr="00535FE0">
        <w:rPr>
          <w:rFonts w:asciiTheme="majorHAnsi" w:hAnsiTheme="majorHAnsi" w:cstheme="majorHAnsi"/>
          <w:lang w:eastAsia="zh-TW"/>
        </w:rPr>
        <w:t xml:space="preserve">ZECK Academy, </w:t>
      </w:r>
      <w:r w:rsidR="00C171F5" w:rsidRPr="00535FE0">
        <w:rPr>
          <w:rFonts w:asciiTheme="majorHAnsi" w:hAnsiTheme="majorHAnsi" w:cstheme="majorHAnsi"/>
          <w:lang w:eastAsia="zh-TW"/>
        </w:rPr>
        <w:t>Corporate Coach / Career Development Expert</w:t>
      </w:r>
    </w:p>
    <w:p w14:paraId="5C5EBE3D" w14:textId="77777777" w:rsidR="003C3F33" w:rsidRPr="00535FE0" w:rsidRDefault="00000000">
      <w:pPr>
        <w:spacing w:after="20"/>
        <w:jc w:val="left"/>
        <w:rPr>
          <w:rFonts w:asciiTheme="majorHAnsi" w:hAnsiTheme="majorHAnsi" w:cstheme="majorHAnsi"/>
        </w:rPr>
      </w:pPr>
      <w:r w:rsidRPr="00535FE0">
        <w:rPr>
          <w:rFonts w:asciiTheme="majorHAnsi" w:hAnsiTheme="majorHAnsi" w:cstheme="majorHAnsi"/>
          <w:b/>
        </w:rPr>
        <w:t xml:space="preserve">Title of workshop: </w:t>
      </w:r>
      <w:r w:rsidRPr="00535FE0">
        <w:rPr>
          <w:rFonts w:asciiTheme="majorHAnsi" w:hAnsiTheme="majorHAnsi" w:cstheme="majorHAnsi"/>
        </w:rPr>
        <w:t>Career Compass Cards™ for Identity, Well-Being, and Reflective Career Guidance</w:t>
      </w:r>
    </w:p>
    <w:p w14:paraId="39B51E60" w14:textId="77777777" w:rsidR="003C3F33" w:rsidRPr="00535FE0" w:rsidRDefault="00000000">
      <w:pPr>
        <w:spacing w:after="20"/>
        <w:jc w:val="left"/>
        <w:rPr>
          <w:rFonts w:asciiTheme="majorHAnsi" w:hAnsiTheme="majorHAnsi" w:cstheme="majorHAnsi"/>
        </w:rPr>
      </w:pPr>
      <w:r w:rsidRPr="00535FE0">
        <w:rPr>
          <w:rFonts w:asciiTheme="majorHAnsi" w:hAnsiTheme="majorHAnsi" w:cstheme="majorHAnsi"/>
          <w:b/>
        </w:rPr>
        <w:t xml:space="preserve">Conference theme(s): </w:t>
      </w:r>
      <w:r w:rsidRPr="00535FE0">
        <w:rPr>
          <w:rFonts w:asciiTheme="majorHAnsi" w:hAnsiTheme="majorHAnsi" w:cstheme="majorHAnsi"/>
        </w:rPr>
        <w:t>Best Practice – Tupuānuku (primary); Well-being – Matariki (secondary)</w:t>
      </w:r>
    </w:p>
    <w:p w14:paraId="745B1825" w14:textId="77777777" w:rsidR="003C3F33" w:rsidRPr="00535FE0" w:rsidRDefault="00000000">
      <w:pPr>
        <w:spacing w:after="20"/>
        <w:jc w:val="left"/>
        <w:rPr>
          <w:rFonts w:asciiTheme="majorHAnsi" w:hAnsiTheme="majorHAnsi" w:cstheme="majorHAnsi"/>
        </w:rPr>
      </w:pPr>
      <w:r w:rsidRPr="00535FE0">
        <w:rPr>
          <w:rFonts w:asciiTheme="majorHAnsi" w:hAnsiTheme="majorHAnsi" w:cstheme="majorHAnsi"/>
          <w:b/>
        </w:rPr>
        <w:t xml:space="preserve">Presentation language at the conference: </w:t>
      </w:r>
      <w:r w:rsidRPr="00535FE0">
        <w:rPr>
          <w:rFonts w:asciiTheme="majorHAnsi" w:hAnsiTheme="majorHAnsi" w:cstheme="majorHAnsi"/>
        </w:rPr>
        <w:t>English</w:t>
      </w:r>
    </w:p>
    <w:p w14:paraId="65BA4A63" w14:textId="77777777" w:rsidR="003C3F33" w:rsidRPr="00535FE0" w:rsidRDefault="00000000">
      <w:pPr>
        <w:spacing w:after="20"/>
        <w:jc w:val="left"/>
        <w:rPr>
          <w:rFonts w:asciiTheme="majorHAnsi" w:hAnsiTheme="majorHAnsi" w:cstheme="majorHAnsi"/>
        </w:rPr>
      </w:pPr>
      <w:r w:rsidRPr="00535FE0">
        <w:rPr>
          <w:rFonts w:asciiTheme="majorHAnsi" w:hAnsiTheme="majorHAnsi" w:cstheme="majorHAnsi"/>
          <w:b/>
        </w:rPr>
        <w:t xml:space="preserve">Keywords: </w:t>
      </w:r>
      <w:r w:rsidRPr="00535FE0">
        <w:rPr>
          <w:rFonts w:asciiTheme="majorHAnsi" w:hAnsiTheme="majorHAnsi" w:cstheme="majorHAnsi"/>
        </w:rPr>
        <w:t>career guidance; identity; well-being; reflective practice; life design</w:t>
      </w:r>
    </w:p>
    <w:p w14:paraId="2E2C9AB1" w14:textId="77777777" w:rsidR="00C171F5" w:rsidRPr="00535FE0" w:rsidRDefault="00C171F5">
      <w:pPr>
        <w:pStyle w:val="SectionHead"/>
        <w:rPr>
          <w:rFonts w:asciiTheme="majorHAnsi" w:hAnsiTheme="majorHAnsi" w:cstheme="majorHAnsi"/>
          <w:lang w:eastAsia="zh-TW"/>
        </w:rPr>
      </w:pPr>
    </w:p>
    <w:p w14:paraId="36C4970D" w14:textId="73EEE0A2" w:rsidR="003C3F33" w:rsidRPr="00535FE0" w:rsidRDefault="00000000">
      <w:pPr>
        <w:pStyle w:val="SectionHead"/>
        <w:rPr>
          <w:rFonts w:asciiTheme="majorHAnsi" w:hAnsiTheme="majorHAnsi" w:cstheme="majorHAnsi"/>
        </w:rPr>
      </w:pPr>
      <w:r w:rsidRPr="00535FE0">
        <w:rPr>
          <w:rFonts w:asciiTheme="majorHAnsi" w:hAnsiTheme="majorHAnsi" w:cstheme="majorHAnsi"/>
        </w:rPr>
        <w:t>Abstract</w:t>
      </w:r>
    </w:p>
    <w:p w14:paraId="644E8CA5" w14:textId="49746B3A"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Introduction. </w:t>
      </w:r>
      <w:r w:rsidRPr="00535FE0">
        <w:rPr>
          <w:rFonts w:asciiTheme="majorHAnsi" w:hAnsiTheme="majorHAnsi" w:cstheme="majorHAnsi"/>
        </w:rPr>
        <w:t xml:space="preserve">Career development is increasingly understood as a process of identity construction, </w:t>
      </w:r>
      <w:proofErr w:type="gramStart"/>
      <w:r w:rsidRPr="00535FE0">
        <w:rPr>
          <w:rFonts w:asciiTheme="majorHAnsi" w:hAnsiTheme="majorHAnsi" w:cstheme="majorHAnsi"/>
        </w:rPr>
        <w:t>meaning-making</w:t>
      </w:r>
      <w:proofErr w:type="gramEnd"/>
      <w:r w:rsidRPr="00535FE0">
        <w:rPr>
          <w:rFonts w:asciiTheme="majorHAnsi" w:hAnsiTheme="majorHAnsi" w:cstheme="majorHAnsi"/>
        </w:rPr>
        <w:t>, and adaptation rather than only occupational choice. Yet many clients and students experience a quieter challenge: they appear to be progressing externally while feeling internally disconnected from who they are and who they are becoming through work. This workshop introduces Career Compass Cards™ (CCC), a 56-card reflective practice tool designed to support career conversations that reconnect identity, values, emotions, and action.</w:t>
      </w:r>
    </w:p>
    <w:p w14:paraId="43AD3209" w14:textId="12426139"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Objectives. </w:t>
      </w:r>
      <w:r w:rsidRPr="00535FE0">
        <w:rPr>
          <w:rFonts w:asciiTheme="majorHAnsi" w:hAnsiTheme="majorHAnsi" w:cstheme="majorHAnsi"/>
        </w:rPr>
        <w:t xml:space="preserve">The workshop has three objectives: (1) to present CCC as an innovative practice framework for reflective career guidance; (2) to demonstrate how structured card-based dialogue can help participants surface values, beliefs, emotions, and identity patterns influencing career decisions; and (3) to equip practitioners with an adaptable method for facilitating humane, inclusive, and meaning-centred career conversations across counselling, education, and </w:t>
      </w:r>
      <w:r w:rsidR="00C171F5" w:rsidRPr="00535FE0">
        <w:rPr>
          <w:rFonts w:asciiTheme="majorHAnsi" w:hAnsiTheme="majorHAnsi" w:cstheme="majorHAnsi"/>
        </w:rPr>
        <w:t>organizational</w:t>
      </w:r>
      <w:r w:rsidRPr="00535FE0">
        <w:rPr>
          <w:rFonts w:asciiTheme="majorHAnsi" w:hAnsiTheme="majorHAnsi" w:cstheme="majorHAnsi"/>
        </w:rPr>
        <w:t xml:space="preserve"> settings.</w:t>
      </w:r>
    </w:p>
    <w:p w14:paraId="45D26848" w14:textId="17987052"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Theoretical basis. </w:t>
      </w:r>
      <w:r w:rsidRPr="00535FE0">
        <w:rPr>
          <w:rFonts w:asciiTheme="majorHAnsi" w:hAnsiTheme="majorHAnsi" w:cstheme="majorHAnsi"/>
        </w:rPr>
        <w:t>The workshop is grounded in career construction theory and life design approaches, which view careers as narrative projects shaped through meaning-making, adaptability, and context. It also draws on reflective and ontological practice by attending to language, emotion, and being in career dialogue. Together, these perspectives position career guidance not only as decision-making, but as a process of becoming in which people author more coherent and authentic life-career stories.</w:t>
      </w:r>
    </w:p>
    <w:p w14:paraId="3505722C" w14:textId="4E19BE7F"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Methodology. </w:t>
      </w:r>
      <w:r w:rsidRPr="00535FE0">
        <w:rPr>
          <w:rFonts w:asciiTheme="majorHAnsi" w:hAnsiTheme="majorHAnsi" w:cstheme="majorHAnsi"/>
        </w:rPr>
        <w:t xml:space="preserve">This 60-minute workshop is intended for career counsellors, coaches, educators, student advisors, and people-development practitioners. The format is experiential and interactive. Content includes a brief conceptual framing, a live guided card sequence, small-group reflection, and transfer-to-practice discussion. After a short introduction to identity-career misalignment as a practical issue in guidance, participants will engage in a guided CCC sequence using selected cards from six domains: </w:t>
      </w:r>
      <w:r w:rsidRPr="00535FE0">
        <w:rPr>
          <w:rFonts w:asciiTheme="majorHAnsi" w:hAnsiTheme="majorHAnsi" w:cstheme="majorHAnsi"/>
        </w:rPr>
        <w:lastRenderedPageBreak/>
        <w:t>Values, Beliefs, Questions, Emotions, Archetypes, and Actions. Participants will work individually, in pairs, and in small groups to explore a real career question, identify assumptions and emotions shaping it, and reframe their narrative through structured prompts. A short debrief will connect the experience to facilitation practice, cultural responsiveness, and ethical use in diverse contexts.</w:t>
      </w:r>
    </w:p>
    <w:p w14:paraId="16FCDFAF" w14:textId="4CADFDA1"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Results. </w:t>
      </w:r>
      <w:r w:rsidRPr="00535FE0">
        <w:rPr>
          <w:rFonts w:asciiTheme="majorHAnsi" w:hAnsiTheme="majorHAnsi" w:cstheme="majorHAnsi"/>
        </w:rPr>
        <w:t xml:space="preserve">Early practice-based use of CCC in coaching, counselling, and educational conversations </w:t>
      </w:r>
      <w:r w:rsidR="00C171F5" w:rsidRPr="00535FE0">
        <w:rPr>
          <w:rFonts w:asciiTheme="majorHAnsi" w:hAnsiTheme="majorHAnsi" w:cstheme="majorHAnsi"/>
          <w:lang w:eastAsia="zh-TW"/>
        </w:rPr>
        <w:t xml:space="preserve">(More than 1000 clients) </w:t>
      </w:r>
      <w:r w:rsidRPr="00535FE0">
        <w:rPr>
          <w:rFonts w:asciiTheme="majorHAnsi" w:hAnsiTheme="majorHAnsi" w:cstheme="majorHAnsi"/>
        </w:rPr>
        <w:t>suggests that the cards help participants articulate previously unspoken values and tensions, increase emotional awareness, and move from confusion toward clearer language for purpose and next steps. The workshop therefore presents emerging practice insights rather than formal empirical findings and invites future research on effectiveness across settings and populations.</w:t>
      </w:r>
    </w:p>
    <w:p w14:paraId="617187A5" w14:textId="49E7EE1E" w:rsidR="00C171F5" w:rsidRPr="00535FE0" w:rsidRDefault="00000000">
      <w:pPr>
        <w:rPr>
          <w:rFonts w:asciiTheme="majorHAnsi" w:hAnsiTheme="majorHAnsi" w:cstheme="majorHAnsi" w:hint="eastAsia"/>
          <w:lang w:eastAsia="zh-TW"/>
        </w:rPr>
      </w:pPr>
      <w:r w:rsidRPr="00535FE0">
        <w:rPr>
          <w:rFonts w:asciiTheme="majorHAnsi" w:hAnsiTheme="majorHAnsi" w:cstheme="majorHAnsi"/>
          <w:b/>
        </w:rPr>
        <w:t xml:space="preserve">Conclusions. </w:t>
      </w:r>
      <w:r w:rsidRPr="00535FE0">
        <w:rPr>
          <w:rFonts w:asciiTheme="majorHAnsi" w:hAnsiTheme="majorHAnsi" w:cstheme="majorHAnsi"/>
        </w:rPr>
        <w:t>CCC contributes to innovative practice in career guidance by offering a structured yet flexible method that bridges theory and application. It extends career conversations beyond matching and choice to include identity, well-being, and reflective meaning-making. The workshop aligns with the conference themes of Best Practice and Well-being by demonstrating a practical approach that is relational, inclusive, and developmentally oriented.</w:t>
      </w:r>
    </w:p>
    <w:p w14:paraId="72F09E53" w14:textId="77777777" w:rsidR="003C3F33" w:rsidRPr="00535FE0" w:rsidRDefault="00000000">
      <w:pPr>
        <w:pStyle w:val="SectionHead"/>
        <w:rPr>
          <w:rFonts w:asciiTheme="majorHAnsi" w:hAnsiTheme="majorHAnsi" w:cstheme="majorHAnsi"/>
        </w:rPr>
      </w:pPr>
      <w:r w:rsidRPr="00535FE0">
        <w:rPr>
          <w:rFonts w:asciiTheme="majorHAnsi" w:hAnsiTheme="majorHAnsi" w:cstheme="majorHAnsi"/>
        </w:rPr>
        <w:t>Bibliographical references</w:t>
      </w:r>
    </w:p>
    <w:p w14:paraId="13F6CB91" w14:textId="4CAA2BE3" w:rsidR="003C3F33" w:rsidRPr="00535FE0" w:rsidRDefault="00000000">
      <w:pPr>
        <w:ind w:left="720" w:hanging="720"/>
        <w:jc w:val="left"/>
        <w:rPr>
          <w:rFonts w:asciiTheme="majorHAnsi" w:hAnsiTheme="majorHAnsi" w:cstheme="majorHAnsi"/>
          <w:lang w:eastAsia="zh-TW"/>
        </w:rPr>
      </w:pPr>
      <w:r w:rsidRPr="00535FE0">
        <w:rPr>
          <w:rFonts w:asciiTheme="majorHAnsi" w:hAnsiTheme="majorHAnsi" w:cstheme="majorHAnsi"/>
        </w:rPr>
        <w:t xml:space="preserve">McMahon, M., &amp; Patton, W. (2018). Systemic thinking in career development theory: Contributions of the Systems Theory Framework. </w:t>
      </w:r>
      <w:r w:rsidRPr="00535FE0">
        <w:rPr>
          <w:rFonts w:asciiTheme="majorHAnsi" w:hAnsiTheme="majorHAnsi" w:cstheme="majorHAnsi"/>
          <w:i/>
          <w:iCs/>
        </w:rPr>
        <w:t>British Journal of Guidance &amp; Counselling</w:t>
      </w:r>
      <w:r w:rsidRPr="00535FE0">
        <w:rPr>
          <w:rFonts w:asciiTheme="majorHAnsi" w:hAnsiTheme="majorHAnsi" w:cstheme="majorHAnsi"/>
        </w:rPr>
        <w:t xml:space="preserve">, 46(2), 229–240. </w:t>
      </w:r>
      <w:hyperlink r:id="rId6" w:history="1">
        <w:r w:rsidR="00997341" w:rsidRPr="00535FE0">
          <w:rPr>
            <w:rStyle w:val="Hyperlink"/>
            <w:rFonts w:asciiTheme="majorHAnsi" w:hAnsiTheme="majorHAnsi" w:cstheme="majorHAnsi"/>
          </w:rPr>
          <w:t>https://doi.org/10.1080/03069885.2018.1428941</w:t>
        </w:r>
      </w:hyperlink>
    </w:p>
    <w:p w14:paraId="7DEC456D" w14:textId="5818279B" w:rsidR="003C3F33" w:rsidRPr="00535FE0" w:rsidRDefault="00000000">
      <w:pPr>
        <w:ind w:left="720" w:hanging="720"/>
        <w:jc w:val="left"/>
        <w:rPr>
          <w:rFonts w:asciiTheme="majorHAnsi" w:hAnsiTheme="majorHAnsi" w:cstheme="majorHAnsi"/>
          <w:lang w:eastAsia="zh-TW"/>
        </w:rPr>
      </w:pPr>
      <w:r w:rsidRPr="00535FE0">
        <w:rPr>
          <w:rFonts w:asciiTheme="majorHAnsi" w:hAnsiTheme="majorHAnsi" w:cstheme="majorHAnsi"/>
        </w:rPr>
        <w:t xml:space="preserve">Meijers, F., &amp; Lengelle, R. (2012). Narratives at work: The development of career identity. </w:t>
      </w:r>
      <w:r w:rsidRPr="00535FE0">
        <w:rPr>
          <w:rFonts w:asciiTheme="majorHAnsi" w:hAnsiTheme="majorHAnsi" w:cstheme="majorHAnsi"/>
          <w:i/>
          <w:iCs/>
        </w:rPr>
        <w:t xml:space="preserve">British Journal of Guidance &amp; Counselling, </w:t>
      </w:r>
      <w:r w:rsidRPr="00535FE0">
        <w:rPr>
          <w:rFonts w:asciiTheme="majorHAnsi" w:hAnsiTheme="majorHAnsi" w:cstheme="majorHAnsi"/>
        </w:rPr>
        <w:t>40(2), 157–176.</w:t>
      </w:r>
      <w:r w:rsidR="00997341" w:rsidRPr="00535FE0">
        <w:rPr>
          <w:rFonts w:asciiTheme="majorHAnsi" w:hAnsiTheme="majorHAnsi" w:cstheme="majorHAnsi"/>
          <w:lang w:eastAsia="zh-TW"/>
        </w:rPr>
        <w:t xml:space="preserve"> </w:t>
      </w:r>
      <w:r w:rsidR="00997341" w:rsidRPr="00535FE0">
        <w:rPr>
          <w:rFonts w:asciiTheme="majorHAnsi" w:hAnsiTheme="majorHAnsi" w:cstheme="majorHAnsi"/>
        </w:rPr>
        <w:fldChar w:fldCharType="begin"/>
      </w:r>
      <w:r w:rsidR="00997341" w:rsidRPr="00535FE0">
        <w:rPr>
          <w:rFonts w:asciiTheme="majorHAnsi" w:hAnsiTheme="majorHAnsi" w:cstheme="majorHAnsi"/>
        </w:rPr>
        <w:instrText>HYPERLINK "https://doi.org/10.1080/03069885.2012.665159"</w:instrText>
      </w:r>
      <w:r w:rsidR="00997341" w:rsidRPr="00535FE0">
        <w:rPr>
          <w:rFonts w:asciiTheme="majorHAnsi" w:hAnsiTheme="majorHAnsi" w:cstheme="majorHAnsi"/>
        </w:rPr>
        <w:fldChar w:fldCharType="separate"/>
      </w:r>
      <w:r w:rsidR="00997341" w:rsidRPr="00535FE0">
        <w:rPr>
          <w:rStyle w:val="Hyperlink"/>
          <w:rFonts w:asciiTheme="majorHAnsi" w:hAnsiTheme="majorHAnsi" w:cstheme="majorHAnsi"/>
        </w:rPr>
        <w:t>https://doi.org/10.1080/03069885.2012.665159</w:t>
      </w:r>
      <w:r w:rsidR="00997341" w:rsidRPr="00535FE0">
        <w:rPr>
          <w:rFonts w:asciiTheme="majorHAnsi" w:hAnsiTheme="majorHAnsi" w:cstheme="majorHAnsi"/>
        </w:rPr>
        <w:fldChar w:fldCharType="end"/>
      </w:r>
    </w:p>
    <w:p w14:paraId="15D0D039" w14:textId="2B5F07BE" w:rsidR="003C3F33" w:rsidRPr="00535FE0" w:rsidRDefault="00000000">
      <w:pPr>
        <w:ind w:left="720" w:hanging="720"/>
        <w:jc w:val="left"/>
        <w:rPr>
          <w:rFonts w:asciiTheme="majorHAnsi" w:hAnsiTheme="majorHAnsi" w:cstheme="majorHAnsi"/>
          <w:lang w:eastAsia="zh-TW"/>
        </w:rPr>
      </w:pPr>
      <w:r w:rsidRPr="00535FE0">
        <w:rPr>
          <w:rFonts w:asciiTheme="majorHAnsi" w:hAnsiTheme="majorHAnsi" w:cstheme="majorHAnsi"/>
        </w:rPr>
        <w:t xml:space="preserve">Savickas, M. L., Nota, L., Rossier, J., </w:t>
      </w:r>
      <w:proofErr w:type="spellStart"/>
      <w:r w:rsidRPr="00535FE0">
        <w:rPr>
          <w:rFonts w:asciiTheme="majorHAnsi" w:hAnsiTheme="majorHAnsi" w:cstheme="majorHAnsi"/>
        </w:rPr>
        <w:t>Dauwalder</w:t>
      </w:r>
      <w:proofErr w:type="spellEnd"/>
      <w:r w:rsidRPr="00535FE0">
        <w:rPr>
          <w:rFonts w:asciiTheme="majorHAnsi" w:hAnsiTheme="majorHAnsi" w:cstheme="majorHAnsi"/>
        </w:rPr>
        <w:t xml:space="preserve">, J.-P., Duarte, M. E., Guichard, J., </w:t>
      </w:r>
      <w:proofErr w:type="spellStart"/>
      <w:r w:rsidRPr="00535FE0">
        <w:rPr>
          <w:rFonts w:asciiTheme="majorHAnsi" w:hAnsiTheme="majorHAnsi" w:cstheme="majorHAnsi"/>
        </w:rPr>
        <w:t>Soresi</w:t>
      </w:r>
      <w:proofErr w:type="spellEnd"/>
      <w:r w:rsidRPr="00535FE0">
        <w:rPr>
          <w:rFonts w:asciiTheme="majorHAnsi" w:hAnsiTheme="majorHAnsi" w:cstheme="majorHAnsi"/>
        </w:rPr>
        <w:t xml:space="preserve">, S., Van </w:t>
      </w:r>
      <w:proofErr w:type="spellStart"/>
      <w:r w:rsidRPr="00535FE0">
        <w:rPr>
          <w:rFonts w:asciiTheme="majorHAnsi" w:hAnsiTheme="majorHAnsi" w:cstheme="majorHAnsi"/>
        </w:rPr>
        <w:t>Esbroeck</w:t>
      </w:r>
      <w:proofErr w:type="spellEnd"/>
      <w:r w:rsidRPr="00535FE0">
        <w:rPr>
          <w:rFonts w:asciiTheme="majorHAnsi" w:hAnsiTheme="majorHAnsi" w:cstheme="majorHAnsi"/>
        </w:rPr>
        <w:t xml:space="preserve">, R., &amp; van Vianen, A. E. M. (2009). Life designing: A paradigm for career construction in the 21st century. </w:t>
      </w:r>
      <w:r w:rsidRPr="00535FE0">
        <w:rPr>
          <w:rFonts w:asciiTheme="majorHAnsi" w:hAnsiTheme="majorHAnsi" w:cstheme="majorHAnsi"/>
          <w:i/>
          <w:iCs/>
        </w:rPr>
        <w:t>Journal of Vocational Behavior</w:t>
      </w:r>
      <w:r w:rsidRPr="00535FE0">
        <w:rPr>
          <w:rFonts w:asciiTheme="majorHAnsi" w:hAnsiTheme="majorHAnsi" w:cstheme="majorHAnsi"/>
        </w:rPr>
        <w:t xml:space="preserve">, 75(3), 239–250. </w:t>
      </w:r>
      <w:hyperlink r:id="rId7" w:history="1">
        <w:r w:rsidR="00997341" w:rsidRPr="00535FE0">
          <w:rPr>
            <w:rStyle w:val="Hyperlink"/>
            <w:rFonts w:asciiTheme="majorHAnsi" w:hAnsiTheme="majorHAnsi" w:cstheme="majorHAnsi"/>
          </w:rPr>
          <w:t>https://doi.org/10.1016/j.jvb.2009.04.004</w:t>
        </w:r>
      </w:hyperlink>
    </w:p>
    <w:p w14:paraId="63903C85" w14:textId="77777777" w:rsidR="00997341" w:rsidRPr="00C171F5" w:rsidRDefault="00997341">
      <w:pPr>
        <w:ind w:left="720" w:hanging="720"/>
        <w:jc w:val="left"/>
        <w:rPr>
          <w:rFonts w:ascii="Times New Roman" w:hAnsi="Times New Roman" w:cs="Times New Roman" w:hint="eastAsia"/>
          <w:lang w:eastAsia="zh-TW"/>
        </w:rPr>
      </w:pPr>
    </w:p>
    <w:sectPr w:rsidR="00997341" w:rsidRPr="00C171F5" w:rsidSect="00034616">
      <w:pgSz w:w="11906" w:h="16838"/>
      <w:pgMar w:top="1247"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8717360">
    <w:abstractNumId w:val="8"/>
  </w:num>
  <w:num w:numId="2" w16cid:durableId="638078191">
    <w:abstractNumId w:val="6"/>
  </w:num>
  <w:num w:numId="3" w16cid:durableId="2025160047">
    <w:abstractNumId w:val="5"/>
  </w:num>
  <w:num w:numId="4" w16cid:durableId="724648741">
    <w:abstractNumId w:val="4"/>
  </w:num>
  <w:num w:numId="5" w16cid:durableId="1309172051">
    <w:abstractNumId w:val="7"/>
  </w:num>
  <w:num w:numId="6" w16cid:durableId="1469400762">
    <w:abstractNumId w:val="3"/>
  </w:num>
  <w:num w:numId="7" w16cid:durableId="343169839">
    <w:abstractNumId w:val="2"/>
  </w:num>
  <w:num w:numId="8" w16cid:durableId="1826700780">
    <w:abstractNumId w:val="1"/>
  </w:num>
  <w:num w:numId="9" w16cid:durableId="138227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3A9"/>
    <w:rsid w:val="0015074B"/>
    <w:rsid w:val="00287F57"/>
    <w:rsid w:val="0029639D"/>
    <w:rsid w:val="00326F90"/>
    <w:rsid w:val="003C3F33"/>
    <w:rsid w:val="00535FE0"/>
    <w:rsid w:val="008D6DF3"/>
    <w:rsid w:val="00997341"/>
    <w:rsid w:val="00AA1D8D"/>
    <w:rsid w:val="00B47730"/>
    <w:rsid w:val="00C171F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A7520A"/>
  <w14:defaultImageDpi w14:val="300"/>
  <w15:docId w15:val="{F50CC6C8-F404-D84D-9BD8-19087986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360" w:lineRule="auto"/>
      <w:jc w:val="both"/>
    </w:pPr>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after="160" w:line="360" w:lineRule="auto"/>
      <w:jc w:val="center"/>
    </w:pPr>
    <w:rPr>
      <w:rFonts w:ascii="Calibri" w:eastAsia="Calibri" w:hAnsi="Calibri"/>
      <w:b/>
      <w:sz w:val="26"/>
    </w:rPr>
  </w:style>
  <w:style w:type="paragraph" w:customStyle="1" w:styleId="SectionHead">
    <w:name w:val="SectionHead"/>
    <w:pPr>
      <w:spacing w:before="60" w:after="40" w:line="360" w:lineRule="auto"/>
    </w:pPr>
    <w:rPr>
      <w:rFonts w:ascii="Calibri" w:eastAsia="Calibri" w:hAnsi="Calibri"/>
      <w:b/>
    </w:rPr>
  </w:style>
  <w:style w:type="character" w:styleId="Hyperlink">
    <w:name w:val="Hyperlink"/>
    <w:basedOn w:val="DefaultParagraphFont"/>
    <w:uiPriority w:val="99"/>
    <w:unhideWhenUsed/>
    <w:rsid w:val="00997341"/>
    <w:rPr>
      <w:color w:val="0000FF" w:themeColor="hyperlink"/>
      <w:u w:val="single"/>
    </w:rPr>
  </w:style>
  <w:style w:type="character" w:styleId="UnresolvedMention">
    <w:name w:val="Unresolved Mention"/>
    <w:basedOn w:val="DefaultParagraphFont"/>
    <w:uiPriority w:val="99"/>
    <w:semiHidden/>
    <w:unhideWhenUsed/>
    <w:rsid w:val="00997341"/>
    <w:rPr>
      <w:color w:val="605E5C"/>
      <w:shd w:val="clear" w:color="auto" w:fill="E1DFDD"/>
    </w:rPr>
  </w:style>
  <w:style w:type="character" w:styleId="FollowedHyperlink">
    <w:name w:val="FollowedHyperlink"/>
    <w:basedOn w:val="DefaultParagraphFont"/>
    <w:uiPriority w:val="99"/>
    <w:semiHidden/>
    <w:unhideWhenUsed/>
    <w:rsid w:val="009973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016/j.jvb.2009.04.0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80/03069885.2018.142894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4536</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LEE</cp:lastModifiedBy>
  <cp:revision>2</cp:revision>
  <dcterms:created xsi:type="dcterms:W3CDTF">2026-04-01T09:49:00Z</dcterms:created>
  <dcterms:modified xsi:type="dcterms:W3CDTF">2026-04-01T09:49:00Z</dcterms:modified>
  <cp:category/>
</cp:coreProperties>
</file>