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D132C" w14:textId="4B45F496" w:rsidR="00FF74B3" w:rsidRPr="00F929A1" w:rsidRDefault="00995318" w:rsidP="00F929A1">
      <w:pPr>
        <w:spacing w:line="360" w:lineRule="auto"/>
        <w:rPr>
          <w:rFonts w:ascii="Calibri" w:hAnsi="Calibri" w:cs="Calibri"/>
          <w:b/>
          <w:bCs/>
          <w:sz w:val="22"/>
          <w:szCs w:val="22"/>
        </w:rPr>
      </w:pPr>
      <w:r w:rsidRPr="00F929A1">
        <w:rPr>
          <w:rFonts w:ascii="Calibri" w:hAnsi="Calibri" w:cs="Calibri"/>
          <w:b/>
          <w:bCs/>
          <w:sz w:val="22"/>
          <w:szCs w:val="22"/>
        </w:rPr>
        <w:t>Beyond Interdependence vs. Independence: Self-Construal Dimensions, Workplace Support, and Work–Family Conflict</w:t>
      </w:r>
    </w:p>
    <w:p w14:paraId="505C549C" w14:textId="77777777" w:rsidR="00FF74B3" w:rsidRPr="003B53DD" w:rsidRDefault="00FF74B3" w:rsidP="00FF74B3">
      <w:pPr>
        <w:spacing w:line="360" w:lineRule="auto"/>
        <w:jc w:val="center"/>
        <w:rPr>
          <w:rFonts w:ascii="Calibri" w:hAnsi="Calibri" w:cs="Calibri"/>
          <w:b/>
          <w:bCs/>
          <w:sz w:val="22"/>
          <w:szCs w:val="22"/>
        </w:rPr>
      </w:pPr>
      <w:r w:rsidRPr="003B53DD">
        <w:rPr>
          <w:rFonts w:ascii="Calibri" w:hAnsi="Calibri" w:cs="Calibri"/>
          <w:b/>
          <w:bCs/>
          <w:sz w:val="22"/>
          <w:szCs w:val="22"/>
        </w:rPr>
        <w:t>Introduction</w:t>
      </w:r>
    </w:p>
    <w:p w14:paraId="4D5308C3" w14:textId="1D98CB8F" w:rsidR="00D219B5" w:rsidRDefault="00B92B04" w:rsidP="00F929A1">
      <w:pPr>
        <w:spacing w:line="360" w:lineRule="auto"/>
        <w:ind w:firstLine="840"/>
        <w:jc w:val="both"/>
        <w:rPr>
          <w:rFonts w:ascii="Calibri" w:hAnsi="Calibri" w:cs="Calibri"/>
          <w:sz w:val="22"/>
          <w:szCs w:val="22"/>
        </w:rPr>
      </w:pPr>
      <w:r w:rsidRPr="00B92B04">
        <w:rPr>
          <w:rFonts w:ascii="Calibri" w:hAnsi="Calibri" w:cs="Calibri"/>
          <w:sz w:val="22"/>
          <w:szCs w:val="22"/>
        </w:rPr>
        <w:t xml:space="preserve">Western cultures have often been described as relatively individualistic, whereas many Asian cultures have been characterized as collectivistic. In cultural psychology, this distinction has been examined through self-construal theory (Markus &amp; Kitayama, 1991). Hashimoto and Yamagishi (2016) posited that in individualistic contexts, self-expression serves as an adaptive strategy, whereas collectivistic contexts prioritize rejection avoidance and harmony-seeking for social adaptation. Recent studies indicate that Westernization in Asian societies has led to greater emphasis on self-expression. </w:t>
      </w:r>
      <w:r w:rsidR="004672D9" w:rsidRPr="004672D9">
        <w:rPr>
          <w:rFonts w:ascii="Calibri" w:hAnsi="Calibri" w:cs="Calibri"/>
          <w:sz w:val="22"/>
          <w:szCs w:val="22"/>
        </w:rPr>
        <w:t xml:space="preserve">In this context, interdependence has been associated with psychological and physiological stress, and individuals with high interdependence </w:t>
      </w:r>
      <w:r w:rsidR="00BB3116">
        <w:rPr>
          <w:rFonts w:ascii="Calibri" w:hAnsi="Calibri" w:cs="Calibri" w:hint="eastAsia"/>
          <w:sz w:val="22"/>
          <w:szCs w:val="22"/>
        </w:rPr>
        <w:t xml:space="preserve">tend to </w:t>
      </w:r>
      <w:r w:rsidR="00BB3116" w:rsidRPr="00BB3116">
        <w:rPr>
          <w:rFonts w:ascii="Calibri" w:hAnsi="Calibri" w:cs="Calibri"/>
          <w:sz w:val="22"/>
          <w:szCs w:val="22"/>
        </w:rPr>
        <w:t xml:space="preserve">express greater concern about </w:t>
      </w:r>
      <w:r w:rsidR="004672D9" w:rsidRPr="004672D9">
        <w:rPr>
          <w:rFonts w:ascii="Calibri" w:hAnsi="Calibri" w:cs="Calibri"/>
          <w:sz w:val="22"/>
          <w:szCs w:val="22"/>
        </w:rPr>
        <w:t>their relationships with others and their social role (Hu et al., 2018).</w:t>
      </w:r>
      <w:r w:rsidR="004672D9">
        <w:rPr>
          <w:rFonts w:ascii="Calibri" w:hAnsi="Calibri" w:cs="Calibri" w:hint="eastAsia"/>
          <w:sz w:val="22"/>
          <w:szCs w:val="22"/>
        </w:rPr>
        <w:t xml:space="preserve"> </w:t>
      </w:r>
      <w:r w:rsidRPr="00B92B04">
        <w:rPr>
          <w:rFonts w:ascii="Calibri" w:hAnsi="Calibri" w:cs="Calibri"/>
          <w:sz w:val="22"/>
          <w:szCs w:val="22"/>
        </w:rPr>
        <w:t>The present study examined whether interdependence functions as a strategy for reducing work–family conflict or, alternatively, contributes to conflict through delayed stress recovery. Moreover, workplace social support was examined as a potential mediator linking self-construal and work–family conflict. Prior research suggests that in collectivistic workplace contexts, supervisor and coworker support may be perceived as an interpersonal burden rather than a resource (French et al., 2018). The present study investigated the relationships among self-construal, workplace support, and strain-based work–family conflict among Japanese employees using mediation analysis.</w:t>
      </w:r>
    </w:p>
    <w:p w14:paraId="5233F432" w14:textId="721C937D" w:rsidR="00FF74B3" w:rsidRPr="00844045" w:rsidRDefault="00FF74B3" w:rsidP="00844045">
      <w:pPr>
        <w:spacing w:line="360" w:lineRule="auto"/>
        <w:jc w:val="center"/>
        <w:rPr>
          <w:rFonts w:ascii="Calibri" w:hAnsi="Calibri" w:cs="Calibri"/>
          <w:b/>
          <w:bCs/>
          <w:sz w:val="22"/>
          <w:szCs w:val="22"/>
        </w:rPr>
      </w:pPr>
      <w:r w:rsidRPr="00844045">
        <w:rPr>
          <w:rFonts w:ascii="Calibri" w:hAnsi="Calibri" w:cs="Calibri"/>
          <w:b/>
          <w:bCs/>
          <w:sz w:val="22"/>
          <w:szCs w:val="22"/>
        </w:rPr>
        <w:t>Method</w:t>
      </w:r>
    </w:p>
    <w:p w14:paraId="3A19DD48" w14:textId="7EC73933" w:rsidR="00FF74B3" w:rsidRPr="00FF74B3" w:rsidRDefault="00FF74B3" w:rsidP="009B3CF1">
      <w:pPr>
        <w:spacing w:line="360" w:lineRule="auto"/>
        <w:ind w:firstLine="840"/>
        <w:jc w:val="both"/>
        <w:rPr>
          <w:rFonts w:ascii="Calibri" w:hAnsi="Calibri" w:cs="Calibri"/>
          <w:sz w:val="22"/>
          <w:szCs w:val="22"/>
        </w:rPr>
      </w:pPr>
      <w:r w:rsidRPr="00844045">
        <w:rPr>
          <w:rFonts w:ascii="Calibri" w:hAnsi="Calibri" w:cs="Calibri"/>
          <w:b/>
          <w:bCs/>
          <w:sz w:val="22"/>
          <w:szCs w:val="22"/>
        </w:rPr>
        <w:t xml:space="preserve">Participants. </w:t>
      </w:r>
      <w:r w:rsidR="001C11EC" w:rsidRPr="001C11EC">
        <w:rPr>
          <w:rFonts w:ascii="Calibri" w:hAnsi="Calibri" w:cs="Calibri"/>
          <w:sz w:val="22"/>
          <w:szCs w:val="22"/>
        </w:rPr>
        <w:t xml:space="preserve">A web-based survey was administered to a sample of 901 Japanese workers (48.95% women; Mage = 45.09 years, SD = 9.00), </w:t>
      </w:r>
      <w:r w:rsidR="00175701" w:rsidRPr="00175701">
        <w:rPr>
          <w:rFonts w:ascii="Calibri" w:hAnsi="Calibri" w:cs="Calibri"/>
          <w:sz w:val="22"/>
          <w:szCs w:val="22"/>
        </w:rPr>
        <w:t>including</w:t>
      </w:r>
      <w:r w:rsidR="001C11EC" w:rsidRPr="001C11EC">
        <w:rPr>
          <w:rFonts w:ascii="Calibri" w:hAnsi="Calibri" w:cs="Calibri"/>
          <w:sz w:val="22"/>
          <w:szCs w:val="22"/>
        </w:rPr>
        <w:t xml:space="preserve"> full-time employees, part-time workers, and self-employed individuals.</w:t>
      </w:r>
    </w:p>
    <w:p w14:paraId="0D4AD9D1" w14:textId="7C1497CC" w:rsidR="00FF74B3" w:rsidRPr="00FF74B3" w:rsidRDefault="00FF74B3" w:rsidP="009B3CF1">
      <w:pPr>
        <w:spacing w:line="360" w:lineRule="auto"/>
        <w:ind w:firstLine="840"/>
        <w:jc w:val="both"/>
        <w:rPr>
          <w:rFonts w:ascii="Calibri" w:hAnsi="Calibri" w:cs="Calibri"/>
          <w:sz w:val="22"/>
          <w:szCs w:val="22"/>
        </w:rPr>
      </w:pPr>
      <w:r w:rsidRPr="00844045">
        <w:rPr>
          <w:rFonts w:ascii="Calibri" w:hAnsi="Calibri" w:cs="Calibri"/>
          <w:b/>
          <w:bCs/>
          <w:sz w:val="22"/>
          <w:szCs w:val="22"/>
        </w:rPr>
        <w:lastRenderedPageBreak/>
        <w:t xml:space="preserve">Measures. </w:t>
      </w:r>
      <w:r w:rsidR="00994243" w:rsidRPr="00994243">
        <w:rPr>
          <w:rFonts w:ascii="Calibri" w:hAnsi="Calibri" w:cs="Calibri"/>
          <w:sz w:val="22"/>
          <w:szCs w:val="22"/>
        </w:rPr>
        <w:t>Self-construal was assessed using the scale developed by Hashimoto and Yamagishi (2016), which measures interdependent self-construal through harmony-seeking and rejection avoidance and independent self-construal through distinctiveness and self-expression. Supervisor and coworker support were measured using items from the Brief Job Stress Questionnaire (BJSQ; Ministry of Health, Labour and Welfare, 2000). Strain-based work-to-family conflict (SWF) was evaluated using the Japanese version of the Work–Family Conflict Scale (Carlson et al., 2000; Watai et al., 2006).</w:t>
      </w:r>
    </w:p>
    <w:p w14:paraId="1FA7E0AD" w14:textId="19682105" w:rsidR="00FF74B3" w:rsidRPr="00FF74B3" w:rsidRDefault="001C11EC" w:rsidP="009B3CF1">
      <w:pPr>
        <w:spacing w:line="360" w:lineRule="auto"/>
        <w:ind w:firstLine="840"/>
        <w:jc w:val="both"/>
        <w:rPr>
          <w:rFonts w:ascii="Calibri" w:hAnsi="Calibri" w:cs="Calibri"/>
          <w:sz w:val="22"/>
          <w:szCs w:val="22"/>
        </w:rPr>
      </w:pPr>
      <w:r>
        <w:rPr>
          <w:rFonts w:ascii="Calibri" w:hAnsi="Calibri" w:cs="Calibri" w:hint="eastAsia"/>
          <w:b/>
          <w:bCs/>
          <w:sz w:val="22"/>
          <w:szCs w:val="22"/>
        </w:rPr>
        <w:t>Data analysis.</w:t>
      </w:r>
      <w:r w:rsidRPr="00844045">
        <w:rPr>
          <w:rFonts w:ascii="Calibri" w:hAnsi="Calibri" w:cs="Calibri"/>
          <w:b/>
          <w:bCs/>
          <w:sz w:val="22"/>
          <w:szCs w:val="22"/>
        </w:rPr>
        <w:t xml:space="preserve"> </w:t>
      </w:r>
      <w:r w:rsidR="007379CC" w:rsidRPr="007379CC">
        <w:rPr>
          <w:rFonts w:ascii="Calibri" w:hAnsi="Calibri" w:cs="Calibri"/>
          <w:sz w:val="22"/>
          <w:szCs w:val="22"/>
        </w:rPr>
        <w:t>Data were analyzed using structural equation modeling (SEM) in IBM SPSS AMOS. Mediation analyses were conducted to examine whether workplace support mediated the relationship between self-construal and SWF. Self-construal served as the predictor, workplace support as the mediator, and SWF as the outcome variable. The significance of indirect effects was evaluated using a bias-corrected bootstrap procedure with 2,000 resamples.</w:t>
      </w:r>
    </w:p>
    <w:p w14:paraId="0663056C" w14:textId="77777777" w:rsidR="00FF74B3" w:rsidRPr="00844045" w:rsidRDefault="00FF74B3" w:rsidP="00844045">
      <w:pPr>
        <w:spacing w:line="360" w:lineRule="auto"/>
        <w:jc w:val="center"/>
        <w:rPr>
          <w:rFonts w:ascii="Calibri" w:hAnsi="Calibri" w:cs="Calibri"/>
          <w:b/>
          <w:bCs/>
          <w:sz w:val="22"/>
          <w:szCs w:val="22"/>
        </w:rPr>
      </w:pPr>
      <w:r w:rsidRPr="00844045">
        <w:rPr>
          <w:rFonts w:ascii="Calibri" w:hAnsi="Calibri" w:cs="Calibri"/>
          <w:b/>
          <w:bCs/>
          <w:sz w:val="22"/>
          <w:szCs w:val="22"/>
        </w:rPr>
        <w:t>Results</w:t>
      </w:r>
    </w:p>
    <w:p w14:paraId="570B6302" w14:textId="06FDFE26" w:rsidR="00FF74B3" w:rsidRPr="00FF74B3" w:rsidRDefault="007379CC" w:rsidP="00844045">
      <w:pPr>
        <w:spacing w:line="360" w:lineRule="auto"/>
        <w:ind w:firstLine="840"/>
        <w:jc w:val="both"/>
        <w:rPr>
          <w:rFonts w:ascii="Calibri" w:hAnsi="Calibri" w:cs="Calibri"/>
          <w:sz w:val="22"/>
          <w:szCs w:val="22"/>
        </w:rPr>
      </w:pPr>
      <w:r w:rsidRPr="007379CC">
        <w:rPr>
          <w:rFonts w:ascii="Calibri" w:hAnsi="Calibri" w:cs="Calibri"/>
          <w:sz w:val="22"/>
          <w:szCs w:val="22"/>
        </w:rPr>
        <w:t>The mediation analyses revealed distinct patterns across self-construal subdimensions. Harmony-seeking and self-expression were positively associated with workplace support, which in turn was negatively related to SWF, indicating significant indirect effects through workplace support. Conversely, rejection avoidance was not related to workplace support but showed a significant direct positive association with SWF. Distinctiveness exhibited both a small positive direct effect on SWF and a small negative indirect effect through workplace support, indicating partial mediation.</w:t>
      </w:r>
    </w:p>
    <w:p w14:paraId="01D3FB7D" w14:textId="02E7003F" w:rsidR="00FF74B3" w:rsidRPr="00FF74B3" w:rsidRDefault="00FF74B3" w:rsidP="00844045">
      <w:pPr>
        <w:spacing w:line="360" w:lineRule="auto"/>
        <w:jc w:val="center"/>
        <w:rPr>
          <w:rFonts w:ascii="Calibri" w:hAnsi="Calibri" w:cs="Calibri"/>
          <w:sz w:val="22"/>
          <w:szCs w:val="22"/>
        </w:rPr>
      </w:pPr>
      <w:r w:rsidRPr="00844045">
        <w:rPr>
          <w:rFonts w:ascii="Calibri" w:hAnsi="Calibri" w:cs="Calibri"/>
          <w:b/>
          <w:bCs/>
          <w:sz w:val="22"/>
          <w:szCs w:val="22"/>
        </w:rPr>
        <w:t>Conclusion</w:t>
      </w:r>
    </w:p>
    <w:p w14:paraId="57B0C933" w14:textId="15F425DA" w:rsidR="00D219B5" w:rsidRDefault="007379CC" w:rsidP="00D1258F">
      <w:pPr>
        <w:spacing w:line="360" w:lineRule="auto"/>
        <w:ind w:firstLine="840"/>
        <w:jc w:val="both"/>
        <w:rPr>
          <w:rFonts w:ascii="Calibri" w:hAnsi="Calibri" w:cs="Calibri"/>
          <w:sz w:val="22"/>
          <w:szCs w:val="22"/>
        </w:rPr>
      </w:pPr>
      <w:r w:rsidRPr="007379CC">
        <w:rPr>
          <w:rFonts w:ascii="Calibri" w:hAnsi="Calibri" w:cs="Calibri"/>
          <w:sz w:val="22"/>
          <w:szCs w:val="22"/>
        </w:rPr>
        <w:t xml:space="preserve">The findings suggest that the relationship between self-construal and work–family conflict extends beyond the simple distinction between independence and interdependence. Harmony-seeking was associated with reduced SWF through workplace support, whereas </w:t>
      </w:r>
      <w:r w:rsidRPr="007379CC">
        <w:rPr>
          <w:rFonts w:ascii="Calibri" w:hAnsi="Calibri" w:cs="Calibri"/>
          <w:sz w:val="22"/>
          <w:szCs w:val="22"/>
        </w:rPr>
        <w:lastRenderedPageBreak/>
        <w:t xml:space="preserve">rejection avoidance was directly associated with increased SWF, indicating a maladaptive aspect of interdependence. This finding supports the view that rejection avoidance may no longer function as an adaptive strategy in contemporary Asian society. The relationship between workplace support and SWF was significant but modest. This finding may be consistent with previous arguments that social support in collectivistic contexts </w:t>
      </w:r>
      <w:r w:rsidR="00335DA4" w:rsidRPr="00335DA4">
        <w:rPr>
          <w:rFonts w:ascii="Calibri" w:hAnsi="Calibri" w:cs="Calibri"/>
          <w:sz w:val="22"/>
          <w:szCs w:val="22"/>
        </w:rPr>
        <w:t>may be perceived as burdensome rather than helpful</w:t>
      </w:r>
      <w:r w:rsidRPr="007379CC">
        <w:rPr>
          <w:rFonts w:ascii="Calibri" w:hAnsi="Calibri" w:cs="Calibri"/>
          <w:sz w:val="22"/>
          <w:szCs w:val="22"/>
        </w:rPr>
        <w:t xml:space="preserve"> (French et al., 2018). These findings suggest that the effectiveness of workplace support may depend less on whether individuals are interdependent or independent and more on how they interact with others and express their needs. Consideration of organizational culture may be important when designing interventions that rely on workplace support (59</w:t>
      </w:r>
      <w:r w:rsidR="00446063">
        <w:rPr>
          <w:rFonts w:ascii="Calibri" w:hAnsi="Calibri" w:cs="Calibri" w:hint="eastAsia"/>
          <w:sz w:val="22"/>
          <w:szCs w:val="22"/>
        </w:rPr>
        <w:t>9</w:t>
      </w:r>
      <w:r w:rsidRPr="007379CC">
        <w:rPr>
          <w:rFonts w:ascii="Calibri" w:hAnsi="Calibri" w:cs="Calibri"/>
          <w:sz w:val="22"/>
          <w:szCs w:val="22"/>
        </w:rPr>
        <w:t>/600 words).</w:t>
      </w:r>
    </w:p>
    <w:p w14:paraId="52A1013A" w14:textId="34239D84" w:rsidR="00A0075E" w:rsidRPr="0008742A" w:rsidRDefault="00A0075E" w:rsidP="00FF74B3">
      <w:pPr>
        <w:spacing w:line="360" w:lineRule="auto"/>
        <w:jc w:val="center"/>
        <w:rPr>
          <w:rFonts w:ascii="Calibri" w:hAnsi="Calibri" w:cs="Calibri"/>
          <w:b/>
          <w:bCs/>
          <w:sz w:val="22"/>
          <w:szCs w:val="22"/>
        </w:rPr>
      </w:pPr>
      <w:r w:rsidRPr="0008742A">
        <w:rPr>
          <w:rFonts w:ascii="Calibri" w:hAnsi="Calibri" w:cs="Calibri"/>
          <w:b/>
          <w:bCs/>
          <w:sz w:val="22"/>
          <w:szCs w:val="22"/>
        </w:rPr>
        <w:t>References</w:t>
      </w:r>
    </w:p>
    <w:p w14:paraId="6C9E1E09" w14:textId="1611A7AF" w:rsidR="00A0075E" w:rsidRPr="00A0075E" w:rsidRDefault="00A0075E" w:rsidP="00552023">
      <w:pPr>
        <w:spacing w:line="360" w:lineRule="auto"/>
        <w:ind w:left="440" w:hangingChars="200" w:hanging="440"/>
        <w:jc w:val="both"/>
        <w:rPr>
          <w:rFonts w:ascii="Calibri" w:hAnsi="Calibri" w:cs="Calibri"/>
          <w:sz w:val="22"/>
          <w:szCs w:val="22"/>
        </w:rPr>
      </w:pPr>
      <w:r w:rsidRPr="00A0075E">
        <w:rPr>
          <w:rFonts w:ascii="Calibri" w:hAnsi="Calibri" w:cs="Calibri"/>
          <w:sz w:val="22"/>
          <w:szCs w:val="22"/>
        </w:rPr>
        <w:t xml:space="preserve">Carlson, D. S., Kacmar, K. M., &amp; Williams, L. J. (2000). Construction and initial validation of a multidimensional measure of work–family conflict. </w:t>
      </w:r>
      <w:r w:rsidRPr="00A0075E">
        <w:rPr>
          <w:rFonts w:ascii="Calibri" w:hAnsi="Calibri" w:cs="Calibri"/>
          <w:i/>
          <w:iCs/>
          <w:sz w:val="22"/>
          <w:szCs w:val="22"/>
        </w:rPr>
        <w:t>Journal of Vocational Behavior, 56</w:t>
      </w:r>
      <w:r w:rsidRPr="00A0075E">
        <w:rPr>
          <w:rFonts w:ascii="Calibri" w:hAnsi="Calibri" w:cs="Calibri"/>
          <w:sz w:val="22"/>
          <w:szCs w:val="22"/>
        </w:rPr>
        <w:t>(2), 249–276.</w:t>
      </w:r>
      <w:r w:rsidR="002C4D62" w:rsidRPr="0093742F">
        <w:rPr>
          <w:rFonts w:ascii="Calibri" w:hAnsi="Calibri" w:cs="Calibri"/>
          <w:sz w:val="22"/>
          <w:szCs w:val="22"/>
        </w:rPr>
        <w:t xml:space="preserve"> </w:t>
      </w:r>
      <w:hyperlink r:id="rId6" w:history="1">
        <w:r w:rsidRPr="00A0075E">
          <w:rPr>
            <w:rStyle w:val="aa"/>
            <w:rFonts w:ascii="Calibri" w:hAnsi="Calibri" w:cs="Calibri"/>
            <w:sz w:val="22"/>
            <w:szCs w:val="22"/>
          </w:rPr>
          <w:t>https://doi.org/10.1006/jvbe.1999.1713</w:t>
        </w:r>
      </w:hyperlink>
      <w:r w:rsidRPr="00A0075E">
        <w:rPr>
          <w:rFonts w:ascii="Calibri" w:hAnsi="Calibri" w:cs="Calibri"/>
          <w:sz w:val="22"/>
          <w:szCs w:val="22"/>
        </w:rPr>
        <w:t xml:space="preserve"> </w:t>
      </w:r>
    </w:p>
    <w:p w14:paraId="08F31D9C" w14:textId="471BDE54" w:rsidR="00A0075E" w:rsidRPr="0093742F" w:rsidRDefault="00A0075E" w:rsidP="00552023">
      <w:pPr>
        <w:spacing w:line="360" w:lineRule="auto"/>
        <w:ind w:left="440" w:hangingChars="200" w:hanging="440"/>
        <w:jc w:val="both"/>
        <w:rPr>
          <w:rFonts w:ascii="Calibri" w:hAnsi="Calibri" w:cs="Calibri"/>
          <w:sz w:val="22"/>
          <w:szCs w:val="22"/>
        </w:rPr>
      </w:pPr>
      <w:r w:rsidRPr="00A0075E">
        <w:rPr>
          <w:rFonts w:ascii="Calibri" w:hAnsi="Calibri" w:cs="Calibri"/>
          <w:sz w:val="22"/>
          <w:szCs w:val="22"/>
        </w:rPr>
        <w:t>French, K. A., Dumani, S., Allen, T. D., &amp; Shockley, K. M. (2018). A meta-analysis of work–family conflict and social support. Psychological Bulletin, 144(3), 284–314.</w:t>
      </w:r>
      <w:r w:rsidR="002C4D62" w:rsidRPr="0093742F">
        <w:rPr>
          <w:rFonts w:ascii="Calibri" w:hAnsi="Calibri" w:cs="Calibri"/>
          <w:sz w:val="22"/>
          <w:szCs w:val="22"/>
        </w:rPr>
        <w:t xml:space="preserve"> </w:t>
      </w:r>
      <w:r w:rsidR="002C4D62" w:rsidRPr="0093742F">
        <w:rPr>
          <w:rStyle w:val="aa"/>
          <w:rFonts w:ascii="Calibri" w:hAnsi="Calibri" w:cs="Calibri"/>
          <w:sz w:val="22"/>
          <w:szCs w:val="22"/>
        </w:rPr>
        <w:t>https://doi.org/10.1037/bul0000120</w:t>
      </w:r>
    </w:p>
    <w:p w14:paraId="71C39128" w14:textId="0A3BAA28" w:rsidR="00A0075E" w:rsidRPr="00A0075E" w:rsidRDefault="00A0075E" w:rsidP="00552023">
      <w:pPr>
        <w:spacing w:line="360" w:lineRule="auto"/>
        <w:ind w:left="440" w:hangingChars="200" w:hanging="440"/>
        <w:jc w:val="both"/>
        <w:rPr>
          <w:rFonts w:ascii="Calibri" w:hAnsi="Calibri" w:cs="Calibri"/>
          <w:sz w:val="22"/>
          <w:szCs w:val="22"/>
        </w:rPr>
      </w:pPr>
      <w:r w:rsidRPr="00A0075E">
        <w:rPr>
          <w:rFonts w:ascii="Calibri" w:hAnsi="Calibri" w:cs="Calibri"/>
          <w:sz w:val="22"/>
          <w:szCs w:val="22"/>
        </w:rPr>
        <w:t>Hashimoto, H., &amp; Yamagishi, T. (2016). Duality of independence and interdependence: An adaptationist perspective. Asian Journal of Social Psychology, 19(4), 286–297.</w:t>
      </w:r>
      <w:r w:rsidRPr="00A0075E">
        <w:rPr>
          <w:rFonts w:ascii="Calibri" w:hAnsi="Calibri" w:cs="Calibri"/>
          <w:sz w:val="22"/>
          <w:szCs w:val="22"/>
        </w:rPr>
        <w:br/>
      </w:r>
      <w:r w:rsidRPr="00A0075E">
        <w:rPr>
          <w:rStyle w:val="aa"/>
          <w:rFonts w:ascii="Calibri" w:hAnsi="Calibri" w:cs="Calibri"/>
          <w:sz w:val="22"/>
          <w:szCs w:val="22"/>
        </w:rPr>
        <w:t>https://doi.org/10.1111/</w:t>
      </w:r>
      <w:hyperlink r:id="rId7" w:history="1">
        <w:r w:rsidRPr="00A0075E">
          <w:rPr>
            <w:rStyle w:val="aa"/>
            <w:rFonts w:ascii="Calibri" w:hAnsi="Calibri" w:cs="Calibri"/>
            <w:sz w:val="22"/>
            <w:szCs w:val="22"/>
          </w:rPr>
          <w:t>ajsp</w:t>
        </w:r>
      </w:hyperlink>
      <w:r w:rsidRPr="00A0075E">
        <w:rPr>
          <w:rStyle w:val="aa"/>
          <w:rFonts w:ascii="Calibri" w:hAnsi="Calibri" w:cs="Calibri"/>
          <w:sz w:val="22"/>
          <w:szCs w:val="22"/>
        </w:rPr>
        <w:t>.12145</w:t>
      </w:r>
    </w:p>
    <w:p w14:paraId="76A4A12A" w14:textId="1111435C" w:rsidR="00A0075E" w:rsidRPr="00A0075E" w:rsidRDefault="00A0075E" w:rsidP="00552023">
      <w:pPr>
        <w:spacing w:line="360" w:lineRule="auto"/>
        <w:ind w:left="440" w:hangingChars="200" w:hanging="440"/>
        <w:jc w:val="both"/>
        <w:rPr>
          <w:rFonts w:ascii="Calibri" w:hAnsi="Calibri" w:cs="Calibri"/>
          <w:sz w:val="22"/>
          <w:szCs w:val="22"/>
        </w:rPr>
      </w:pPr>
      <w:r w:rsidRPr="00A0075E">
        <w:rPr>
          <w:rFonts w:ascii="Calibri" w:hAnsi="Calibri" w:cs="Calibri"/>
          <w:sz w:val="22"/>
          <w:szCs w:val="22"/>
        </w:rPr>
        <w:t xml:space="preserve">Hu, X., Wang, Y., Pruessner, J. C., &amp; Yang, J. (2018). Interdependent self-construal, social evaluative threat and subjective, cardiovascular and neuroendocrine stress response in Chinese. </w:t>
      </w:r>
      <w:r w:rsidRPr="00A0075E">
        <w:rPr>
          <w:rFonts w:ascii="Calibri" w:hAnsi="Calibri" w:cs="Calibri"/>
          <w:i/>
          <w:iCs/>
          <w:sz w:val="22"/>
          <w:szCs w:val="22"/>
        </w:rPr>
        <w:t>Hormones and Behavior, 106</w:t>
      </w:r>
      <w:r w:rsidRPr="00A0075E">
        <w:rPr>
          <w:rFonts w:ascii="Calibri" w:hAnsi="Calibri" w:cs="Calibri"/>
          <w:sz w:val="22"/>
          <w:szCs w:val="22"/>
        </w:rPr>
        <w:t>, 112–121.</w:t>
      </w:r>
      <w:r w:rsidRPr="00A0075E">
        <w:rPr>
          <w:rFonts w:ascii="Calibri" w:hAnsi="Calibri" w:cs="Calibri"/>
          <w:sz w:val="22"/>
          <w:szCs w:val="22"/>
        </w:rPr>
        <w:br/>
      </w:r>
      <w:hyperlink r:id="rId8" w:history="1">
        <w:r w:rsidRPr="0093742F">
          <w:rPr>
            <w:rStyle w:val="aa"/>
            <w:rFonts w:ascii="Calibri" w:hAnsi="Calibri" w:cs="Calibri"/>
            <w:sz w:val="22"/>
            <w:szCs w:val="22"/>
          </w:rPr>
          <w:t>https://doi.org/10.1016/j.yhbeh.2018.10.006</w:t>
        </w:r>
      </w:hyperlink>
    </w:p>
    <w:p w14:paraId="24C7CF5B" w14:textId="77777777" w:rsidR="00A0075E" w:rsidRPr="00A0075E" w:rsidRDefault="00A0075E" w:rsidP="00552023">
      <w:pPr>
        <w:spacing w:line="360" w:lineRule="auto"/>
        <w:ind w:left="440" w:hangingChars="200" w:hanging="440"/>
        <w:jc w:val="both"/>
        <w:rPr>
          <w:rFonts w:ascii="Calibri" w:hAnsi="Calibri" w:cs="Calibri"/>
          <w:sz w:val="22"/>
          <w:szCs w:val="22"/>
        </w:rPr>
      </w:pPr>
      <w:r w:rsidRPr="00A0075E">
        <w:rPr>
          <w:rFonts w:ascii="Calibri" w:hAnsi="Calibri" w:cs="Calibri"/>
          <w:sz w:val="22"/>
          <w:szCs w:val="22"/>
        </w:rPr>
        <w:lastRenderedPageBreak/>
        <w:t xml:space="preserve">Markus, H. R., &amp; Kitayama, S. (1991). Culture and the self: Implications for cognition, emotion, and motivation. </w:t>
      </w:r>
      <w:r w:rsidRPr="00A0075E">
        <w:rPr>
          <w:rFonts w:ascii="Calibri" w:hAnsi="Calibri" w:cs="Calibri"/>
          <w:i/>
          <w:iCs/>
          <w:sz w:val="22"/>
          <w:szCs w:val="22"/>
        </w:rPr>
        <w:t>Psychological Review, 98</w:t>
      </w:r>
      <w:r w:rsidRPr="00A0075E">
        <w:rPr>
          <w:rFonts w:ascii="Calibri" w:hAnsi="Calibri" w:cs="Calibri"/>
          <w:sz w:val="22"/>
          <w:szCs w:val="22"/>
        </w:rPr>
        <w:t>(2), 224–253.</w:t>
      </w:r>
      <w:r w:rsidRPr="00A0075E">
        <w:rPr>
          <w:rFonts w:ascii="Calibri" w:hAnsi="Calibri" w:cs="Calibri"/>
          <w:sz w:val="22"/>
          <w:szCs w:val="22"/>
        </w:rPr>
        <w:br/>
      </w:r>
      <w:hyperlink r:id="rId9" w:tgtFrame="_new" w:history="1">
        <w:r w:rsidRPr="00A0075E">
          <w:rPr>
            <w:rStyle w:val="aa"/>
            <w:rFonts w:ascii="Calibri" w:hAnsi="Calibri" w:cs="Calibri"/>
            <w:sz w:val="22"/>
            <w:szCs w:val="22"/>
          </w:rPr>
          <w:t>https://doi.org/10.1037/0033-295X.98.2.224</w:t>
        </w:r>
      </w:hyperlink>
    </w:p>
    <w:p w14:paraId="206A9CB8" w14:textId="150E5EB8" w:rsidR="00A0075E" w:rsidRPr="00A0075E" w:rsidRDefault="00A0075E" w:rsidP="00552023">
      <w:pPr>
        <w:spacing w:line="360" w:lineRule="auto"/>
        <w:ind w:left="440" w:hangingChars="200" w:hanging="440"/>
        <w:jc w:val="both"/>
        <w:rPr>
          <w:rFonts w:ascii="Calibri" w:hAnsi="Calibri" w:cs="Calibri"/>
          <w:sz w:val="22"/>
          <w:szCs w:val="22"/>
        </w:rPr>
      </w:pPr>
      <w:r w:rsidRPr="00A0075E">
        <w:rPr>
          <w:rFonts w:ascii="Calibri" w:hAnsi="Calibri" w:cs="Calibri"/>
          <w:sz w:val="22"/>
          <w:szCs w:val="22"/>
        </w:rPr>
        <w:t xml:space="preserve">Ministry of Health, Labour and Welfare. (2000). </w:t>
      </w:r>
      <w:r w:rsidRPr="00A0075E">
        <w:rPr>
          <w:rFonts w:ascii="Calibri" w:hAnsi="Calibri" w:cs="Calibri"/>
          <w:i/>
          <w:iCs/>
          <w:sz w:val="22"/>
          <w:szCs w:val="22"/>
        </w:rPr>
        <w:t>Brief job stress questionnaire</w:t>
      </w:r>
      <w:r w:rsidRPr="00A0075E">
        <w:rPr>
          <w:rFonts w:ascii="Calibri" w:hAnsi="Calibri" w:cs="Calibri"/>
          <w:sz w:val="22"/>
          <w:szCs w:val="22"/>
        </w:rPr>
        <w:t>.</w:t>
      </w:r>
      <w:r w:rsidR="009B3CF1" w:rsidRPr="009B3CF1">
        <w:rPr>
          <w:rFonts w:ascii="Calibri" w:hAnsi="Calibri" w:cs="Calibri"/>
          <w:sz w:val="22"/>
          <w:szCs w:val="22"/>
        </w:rPr>
        <w:t xml:space="preserve"> </w:t>
      </w:r>
      <w:r w:rsidR="009B3CF1" w:rsidRPr="0093742F">
        <w:rPr>
          <w:rFonts w:ascii="Calibri" w:hAnsi="Calibri" w:cs="Calibri"/>
          <w:sz w:val="22"/>
          <w:szCs w:val="22"/>
        </w:rPr>
        <w:t>[In Japanese]</w:t>
      </w:r>
      <w:r w:rsidRPr="00A0075E">
        <w:rPr>
          <w:rFonts w:ascii="Calibri" w:hAnsi="Calibri" w:cs="Calibri"/>
          <w:sz w:val="22"/>
          <w:szCs w:val="22"/>
        </w:rPr>
        <w:br/>
      </w:r>
      <w:hyperlink r:id="rId10" w:tgtFrame="_new" w:history="1">
        <w:r w:rsidRPr="00A0075E">
          <w:rPr>
            <w:rStyle w:val="aa"/>
            <w:rFonts w:ascii="Calibri" w:hAnsi="Calibri" w:cs="Calibri"/>
            <w:sz w:val="22"/>
            <w:szCs w:val="22"/>
          </w:rPr>
          <w:t>https://www.mhlw.go.jp</w:t>
        </w:r>
      </w:hyperlink>
    </w:p>
    <w:p w14:paraId="585D50E8" w14:textId="77777777" w:rsidR="009B3CF1" w:rsidRDefault="00A0075E" w:rsidP="00552023">
      <w:pPr>
        <w:spacing w:line="360" w:lineRule="auto"/>
        <w:ind w:left="440" w:hangingChars="200" w:hanging="440"/>
        <w:jc w:val="both"/>
        <w:rPr>
          <w:rFonts w:ascii="Calibri" w:hAnsi="Calibri" w:cs="Calibri"/>
          <w:sz w:val="22"/>
          <w:szCs w:val="22"/>
        </w:rPr>
      </w:pPr>
      <w:r w:rsidRPr="00A0075E">
        <w:rPr>
          <w:rFonts w:ascii="Calibri" w:hAnsi="Calibri" w:cs="Calibri"/>
          <w:sz w:val="22"/>
          <w:szCs w:val="22"/>
        </w:rPr>
        <w:t xml:space="preserve">Watai, I., Nishikido, N., &amp; Murashima, S. (2006). Development of a Japanese version of the Work–Family Conflict Scale (WFCS) and examination of its validity and reliability. </w:t>
      </w:r>
      <w:r w:rsidRPr="00A0075E">
        <w:rPr>
          <w:rFonts w:ascii="Calibri" w:hAnsi="Calibri" w:cs="Calibri"/>
          <w:i/>
          <w:iCs/>
          <w:sz w:val="22"/>
          <w:szCs w:val="22"/>
        </w:rPr>
        <w:t>Journal of Occupational Health, 48</w:t>
      </w:r>
      <w:r w:rsidRPr="00A0075E">
        <w:rPr>
          <w:rFonts w:ascii="Calibri" w:hAnsi="Calibri" w:cs="Calibri"/>
          <w:sz w:val="22"/>
          <w:szCs w:val="22"/>
        </w:rPr>
        <w:t>(3), 71–81.</w:t>
      </w:r>
      <w:r w:rsidRPr="0093742F">
        <w:rPr>
          <w:rFonts w:ascii="Calibri" w:hAnsi="Calibri" w:cs="Calibri"/>
          <w:sz w:val="22"/>
          <w:szCs w:val="22"/>
        </w:rPr>
        <w:t xml:space="preserve"> [In Japanese] </w:t>
      </w:r>
    </w:p>
    <w:p w14:paraId="4A43674C" w14:textId="5DCB1A9D" w:rsidR="00A0075E" w:rsidRPr="0093742F" w:rsidRDefault="009B3CF1" w:rsidP="009B3CF1">
      <w:pPr>
        <w:spacing w:line="360" w:lineRule="auto"/>
        <w:ind w:left="420"/>
        <w:jc w:val="both"/>
        <w:rPr>
          <w:rFonts w:ascii="Calibri" w:hAnsi="Calibri" w:cs="Calibri"/>
          <w:sz w:val="22"/>
          <w:szCs w:val="22"/>
        </w:rPr>
      </w:pPr>
      <w:hyperlink r:id="rId11" w:history="1">
        <w:r w:rsidRPr="006A6E6A">
          <w:rPr>
            <w:rStyle w:val="aa"/>
            <w:rFonts w:ascii="Calibri" w:hAnsi="Calibri" w:cs="Calibri"/>
            <w:sz w:val="22"/>
            <w:szCs w:val="22"/>
          </w:rPr>
          <w:t>https://doi.org/10.1539/sangyoeisei.48.71</w:t>
        </w:r>
      </w:hyperlink>
    </w:p>
    <w:sectPr w:rsidR="00A0075E" w:rsidRPr="0093742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BBDF6" w14:textId="77777777" w:rsidR="009D57C9" w:rsidRDefault="009D57C9" w:rsidP="0008742A">
      <w:r>
        <w:separator/>
      </w:r>
    </w:p>
  </w:endnote>
  <w:endnote w:type="continuationSeparator" w:id="0">
    <w:p w14:paraId="5058CE61" w14:textId="77777777" w:rsidR="009D57C9" w:rsidRDefault="009D57C9" w:rsidP="00087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C82B9" w14:textId="77777777" w:rsidR="009D57C9" w:rsidRDefault="009D57C9" w:rsidP="0008742A">
      <w:r>
        <w:separator/>
      </w:r>
    </w:p>
  </w:footnote>
  <w:footnote w:type="continuationSeparator" w:id="0">
    <w:p w14:paraId="67DBE956" w14:textId="77777777" w:rsidR="009D57C9" w:rsidRDefault="009D57C9" w:rsidP="000874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75E"/>
    <w:rsid w:val="00074C77"/>
    <w:rsid w:val="0008742A"/>
    <w:rsid w:val="000C5AC6"/>
    <w:rsid w:val="000E7511"/>
    <w:rsid w:val="00125E6B"/>
    <w:rsid w:val="001368DB"/>
    <w:rsid w:val="00175701"/>
    <w:rsid w:val="001C11EC"/>
    <w:rsid w:val="001C3156"/>
    <w:rsid w:val="002725F8"/>
    <w:rsid w:val="002911D0"/>
    <w:rsid w:val="002977FA"/>
    <w:rsid w:val="002C4D62"/>
    <w:rsid w:val="00335DA4"/>
    <w:rsid w:val="003B53DD"/>
    <w:rsid w:val="00446063"/>
    <w:rsid w:val="00466078"/>
    <w:rsid w:val="004672D9"/>
    <w:rsid w:val="004A1760"/>
    <w:rsid w:val="004D0CBF"/>
    <w:rsid w:val="00552023"/>
    <w:rsid w:val="00562CEF"/>
    <w:rsid w:val="005759E4"/>
    <w:rsid w:val="005A6B07"/>
    <w:rsid w:val="005A7050"/>
    <w:rsid w:val="00600AE1"/>
    <w:rsid w:val="00666B22"/>
    <w:rsid w:val="007379CC"/>
    <w:rsid w:val="00741BA9"/>
    <w:rsid w:val="00766CD9"/>
    <w:rsid w:val="007947A3"/>
    <w:rsid w:val="007A57A7"/>
    <w:rsid w:val="007B2BE7"/>
    <w:rsid w:val="007F21E1"/>
    <w:rsid w:val="0080570F"/>
    <w:rsid w:val="00810562"/>
    <w:rsid w:val="0082178D"/>
    <w:rsid w:val="00844045"/>
    <w:rsid w:val="0089193D"/>
    <w:rsid w:val="008B4B2A"/>
    <w:rsid w:val="0093742F"/>
    <w:rsid w:val="00937872"/>
    <w:rsid w:val="009762A9"/>
    <w:rsid w:val="00994243"/>
    <w:rsid w:val="00995318"/>
    <w:rsid w:val="009B3CF1"/>
    <w:rsid w:val="009D4EAE"/>
    <w:rsid w:val="009D57C9"/>
    <w:rsid w:val="009F7369"/>
    <w:rsid w:val="00A0075E"/>
    <w:rsid w:val="00A02A25"/>
    <w:rsid w:val="00A20E9F"/>
    <w:rsid w:val="00A50511"/>
    <w:rsid w:val="00AB51F6"/>
    <w:rsid w:val="00B24933"/>
    <w:rsid w:val="00B4084C"/>
    <w:rsid w:val="00B92B04"/>
    <w:rsid w:val="00BA220B"/>
    <w:rsid w:val="00BB3116"/>
    <w:rsid w:val="00BF035A"/>
    <w:rsid w:val="00BF79CB"/>
    <w:rsid w:val="00C27AD5"/>
    <w:rsid w:val="00C764CC"/>
    <w:rsid w:val="00CB6D0A"/>
    <w:rsid w:val="00CD6A39"/>
    <w:rsid w:val="00D1258F"/>
    <w:rsid w:val="00D219B5"/>
    <w:rsid w:val="00D57DAB"/>
    <w:rsid w:val="00E466F2"/>
    <w:rsid w:val="00F823C7"/>
    <w:rsid w:val="00F85E54"/>
    <w:rsid w:val="00F929A1"/>
    <w:rsid w:val="00FF7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E4E975"/>
  <w15:chartTrackingRefBased/>
  <w15:docId w15:val="{E29A728C-D7D2-40EB-B64A-24D7A957F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0075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0075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0075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0075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0075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0075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0075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0075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0075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0075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0075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0075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0075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0075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0075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0075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0075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0075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0075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0075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075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0075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0075E"/>
    <w:pPr>
      <w:spacing w:before="160" w:after="160"/>
      <w:jc w:val="center"/>
    </w:pPr>
    <w:rPr>
      <w:i/>
      <w:iCs/>
      <w:color w:val="404040" w:themeColor="text1" w:themeTint="BF"/>
    </w:rPr>
  </w:style>
  <w:style w:type="character" w:customStyle="1" w:styleId="a8">
    <w:name w:val="引用文 (文字)"/>
    <w:basedOn w:val="a0"/>
    <w:link w:val="a7"/>
    <w:uiPriority w:val="29"/>
    <w:rsid w:val="00A0075E"/>
    <w:rPr>
      <w:i/>
      <w:iCs/>
      <w:color w:val="404040" w:themeColor="text1" w:themeTint="BF"/>
    </w:rPr>
  </w:style>
  <w:style w:type="paragraph" w:styleId="a9">
    <w:name w:val="List Paragraph"/>
    <w:basedOn w:val="a"/>
    <w:uiPriority w:val="34"/>
    <w:qFormat/>
    <w:rsid w:val="00A0075E"/>
    <w:pPr>
      <w:ind w:left="720"/>
      <w:contextualSpacing/>
    </w:pPr>
  </w:style>
  <w:style w:type="character" w:styleId="21">
    <w:name w:val="Intense Emphasis"/>
    <w:basedOn w:val="a0"/>
    <w:uiPriority w:val="21"/>
    <w:qFormat/>
    <w:rsid w:val="00A0075E"/>
    <w:rPr>
      <w:i/>
      <w:iCs/>
      <w:color w:val="2F5496" w:themeColor="accent1" w:themeShade="BF"/>
    </w:rPr>
  </w:style>
  <w:style w:type="paragraph" w:styleId="22">
    <w:name w:val="Intense Quote"/>
    <w:basedOn w:val="a"/>
    <w:next w:val="a"/>
    <w:link w:val="23"/>
    <w:uiPriority w:val="30"/>
    <w:qFormat/>
    <w:rsid w:val="00A007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A0075E"/>
    <w:rPr>
      <w:i/>
      <w:iCs/>
      <w:color w:val="2F5496" w:themeColor="accent1" w:themeShade="BF"/>
    </w:rPr>
  </w:style>
  <w:style w:type="character" w:styleId="24">
    <w:name w:val="Intense Reference"/>
    <w:basedOn w:val="a0"/>
    <w:uiPriority w:val="32"/>
    <w:qFormat/>
    <w:rsid w:val="00A0075E"/>
    <w:rPr>
      <w:b/>
      <w:bCs/>
      <w:smallCaps/>
      <w:color w:val="2F5496" w:themeColor="accent1" w:themeShade="BF"/>
      <w:spacing w:val="5"/>
    </w:rPr>
  </w:style>
  <w:style w:type="character" w:styleId="aa">
    <w:name w:val="Hyperlink"/>
    <w:basedOn w:val="a0"/>
    <w:uiPriority w:val="99"/>
    <w:unhideWhenUsed/>
    <w:rsid w:val="00A0075E"/>
    <w:rPr>
      <w:color w:val="0563C1" w:themeColor="hyperlink"/>
      <w:u w:val="single"/>
    </w:rPr>
  </w:style>
  <w:style w:type="character" w:styleId="ab">
    <w:name w:val="Unresolved Mention"/>
    <w:basedOn w:val="a0"/>
    <w:uiPriority w:val="99"/>
    <w:semiHidden/>
    <w:unhideWhenUsed/>
    <w:rsid w:val="00A0075E"/>
    <w:rPr>
      <w:color w:val="605E5C"/>
      <w:shd w:val="clear" w:color="auto" w:fill="E1DFDD"/>
    </w:rPr>
  </w:style>
  <w:style w:type="character" w:styleId="ac">
    <w:name w:val="FollowedHyperlink"/>
    <w:basedOn w:val="a0"/>
    <w:uiPriority w:val="99"/>
    <w:semiHidden/>
    <w:unhideWhenUsed/>
    <w:rsid w:val="00A0075E"/>
    <w:rPr>
      <w:color w:val="954F72" w:themeColor="followedHyperlink"/>
      <w:u w:val="single"/>
    </w:rPr>
  </w:style>
  <w:style w:type="paragraph" w:styleId="ad">
    <w:name w:val="header"/>
    <w:basedOn w:val="a"/>
    <w:link w:val="ae"/>
    <w:uiPriority w:val="99"/>
    <w:unhideWhenUsed/>
    <w:rsid w:val="0008742A"/>
    <w:pPr>
      <w:tabs>
        <w:tab w:val="center" w:pos="4252"/>
        <w:tab w:val="right" w:pos="8504"/>
      </w:tabs>
      <w:snapToGrid w:val="0"/>
    </w:pPr>
  </w:style>
  <w:style w:type="character" w:customStyle="1" w:styleId="ae">
    <w:name w:val="ヘッダー (文字)"/>
    <w:basedOn w:val="a0"/>
    <w:link w:val="ad"/>
    <w:uiPriority w:val="99"/>
    <w:rsid w:val="0008742A"/>
  </w:style>
  <w:style w:type="paragraph" w:styleId="af">
    <w:name w:val="footer"/>
    <w:basedOn w:val="a"/>
    <w:link w:val="af0"/>
    <w:uiPriority w:val="99"/>
    <w:unhideWhenUsed/>
    <w:rsid w:val="0008742A"/>
    <w:pPr>
      <w:tabs>
        <w:tab w:val="center" w:pos="4252"/>
        <w:tab w:val="right" w:pos="8504"/>
      </w:tabs>
      <w:snapToGrid w:val="0"/>
    </w:pPr>
  </w:style>
  <w:style w:type="character" w:customStyle="1" w:styleId="af0">
    <w:name w:val="フッター (文字)"/>
    <w:basedOn w:val="a0"/>
    <w:link w:val="af"/>
    <w:uiPriority w:val="99"/>
    <w:rsid w:val="0008742A"/>
  </w:style>
  <w:style w:type="paragraph" w:styleId="af1">
    <w:name w:val="Revision"/>
    <w:hidden/>
    <w:uiPriority w:val="99"/>
    <w:semiHidden/>
    <w:rsid w:val="00125E6B"/>
  </w:style>
  <w:style w:type="paragraph" w:styleId="af2">
    <w:name w:val="No Spacing"/>
    <w:uiPriority w:val="1"/>
    <w:qFormat/>
    <w:rsid w:val="00A02A25"/>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yhbeh.2018.10.00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111/ajsp.1214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6/jvbe.1999.1713" TargetMode="External"/><Relationship Id="rId11" Type="http://schemas.openxmlformats.org/officeDocument/2006/relationships/hyperlink" Target="https://doi.org/10.1539/sangyoeisei.48.71" TargetMode="External"/><Relationship Id="rId5" Type="http://schemas.openxmlformats.org/officeDocument/2006/relationships/endnotes" Target="endnotes.xml"/><Relationship Id="rId10" Type="http://schemas.openxmlformats.org/officeDocument/2006/relationships/hyperlink" Target="https://www.mhlw.go.jp" TargetMode="External"/><Relationship Id="rId4" Type="http://schemas.openxmlformats.org/officeDocument/2006/relationships/footnotes" Target="footnotes.xml"/><Relationship Id="rId9" Type="http://schemas.openxmlformats.org/officeDocument/2006/relationships/hyperlink" Target="https://doi.org/10.1037/0033-295X.98.2.224"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961</Words>
  <Characters>5482</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Adachi</dc:creator>
  <cp:keywords/>
  <dc:description/>
  <cp:lastModifiedBy>ADACHI Tomoko</cp:lastModifiedBy>
  <cp:revision>10</cp:revision>
  <dcterms:created xsi:type="dcterms:W3CDTF">2026-06-16T08:33:00Z</dcterms:created>
  <dcterms:modified xsi:type="dcterms:W3CDTF">2026-06-16T10:06:00Z</dcterms:modified>
</cp:coreProperties>
</file>