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0289F" w14:textId="77777777" w:rsidR="006C7DFE" w:rsidRPr="006C7DFE" w:rsidRDefault="006C7DFE" w:rsidP="006C7DFE">
      <w:pPr>
        <w:spacing w:line="360" w:lineRule="auto"/>
        <w:rPr>
          <w:rFonts w:ascii="Calibri" w:hAnsi="Calibri" w:cs="Calibri"/>
          <w:b/>
          <w:bCs/>
        </w:rPr>
      </w:pPr>
      <w:r w:rsidRPr="006C7DFE">
        <w:rPr>
          <w:rFonts w:ascii="Calibri" w:hAnsi="Calibri" w:cs="Calibri"/>
          <w:b/>
          <w:bCs/>
        </w:rPr>
        <w:t>IAEVG Conference Proposal</w:t>
      </w:r>
    </w:p>
    <w:p w14:paraId="1433468A" w14:textId="61EC55D4" w:rsidR="006C7DFE" w:rsidRPr="006C7DFE" w:rsidRDefault="006C7DFE" w:rsidP="006C7DFE">
      <w:pPr>
        <w:spacing w:line="360" w:lineRule="auto"/>
        <w:rPr>
          <w:rFonts w:ascii="Calibri" w:hAnsi="Calibri" w:cs="Calibri"/>
        </w:rPr>
      </w:pPr>
      <w:r w:rsidRPr="006C7DFE">
        <w:rPr>
          <w:rFonts w:ascii="Calibri" w:hAnsi="Calibri" w:cs="Calibri"/>
        </w:rPr>
        <w:t xml:space="preserve">Munro, Deborah </w:t>
      </w:r>
    </w:p>
    <w:p w14:paraId="0E25C978" w14:textId="1FD84720" w:rsidR="006C7DFE" w:rsidRPr="006C7DFE" w:rsidRDefault="006C7DFE" w:rsidP="006C7DFE">
      <w:pPr>
        <w:spacing w:line="360" w:lineRule="auto"/>
        <w:rPr>
          <w:rFonts w:ascii="Calibri" w:hAnsi="Calibri" w:cs="Calibri"/>
        </w:rPr>
      </w:pPr>
      <w:r w:rsidRPr="006C7DFE">
        <w:rPr>
          <w:rFonts w:ascii="Calibri" w:hAnsi="Calibri" w:cs="Calibri"/>
        </w:rPr>
        <w:t>Senior Lecturer</w:t>
      </w:r>
    </w:p>
    <w:p w14:paraId="30F08891" w14:textId="50F61A5F" w:rsidR="006C7DFE" w:rsidRPr="006C7DFE" w:rsidRDefault="006C7DFE" w:rsidP="006C7DFE">
      <w:pPr>
        <w:spacing w:line="360" w:lineRule="auto"/>
        <w:rPr>
          <w:rFonts w:ascii="Calibri" w:hAnsi="Calibri" w:cs="Calibri"/>
        </w:rPr>
      </w:pPr>
      <w:r w:rsidRPr="006C7DFE">
        <w:rPr>
          <w:rFonts w:ascii="Calibri" w:hAnsi="Calibri" w:cs="Calibri"/>
        </w:rPr>
        <w:t>MunroD2@qut.edu.au</w:t>
      </w:r>
    </w:p>
    <w:p w14:paraId="5AAEAFF2" w14:textId="77777777" w:rsidR="006C7DFE" w:rsidRPr="006C7DFE" w:rsidRDefault="006C7DFE" w:rsidP="006C7DFE">
      <w:pPr>
        <w:spacing w:line="360" w:lineRule="auto"/>
        <w:rPr>
          <w:rFonts w:ascii="Calibri" w:hAnsi="Calibri" w:cs="Calibri"/>
        </w:rPr>
      </w:pPr>
      <w:r w:rsidRPr="006C7DFE">
        <w:rPr>
          <w:rFonts w:ascii="Calibri" w:hAnsi="Calibri" w:cs="Calibri"/>
        </w:rPr>
        <w:t>Queensland University of Technology</w:t>
      </w:r>
    </w:p>
    <w:p w14:paraId="7AA0CF52" w14:textId="2CB56ABA" w:rsidR="006C7DFE" w:rsidRPr="006C7DFE" w:rsidRDefault="006C7DFE" w:rsidP="006C7DFE">
      <w:pPr>
        <w:spacing w:line="360" w:lineRule="auto"/>
        <w:rPr>
          <w:rFonts w:ascii="Calibri" w:hAnsi="Calibri" w:cs="Calibri"/>
        </w:rPr>
      </w:pPr>
      <w:r w:rsidRPr="006C7DFE">
        <w:rPr>
          <w:rFonts w:ascii="Calibri" w:hAnsi="Calibri" w:cs="Calibri"/>
        </w:rPr>
        <w:t>Munro, Deborah,</w:t>
      </w:r>
      <w:r w:rsidRPr="006C7DFE">
        <w:rPr>
          <w:rFonts w:ascii="Calibri" w:hAnsi="Calibri" w:cs="Calibri"/>
        </w:rPr>
        <w:t xml:space="preserve"> QUT, </w:t>
      </w:r>
      <w:r w:rsidRPr="006C7DFE">
        <w:rPr>
          <w:rFonts w:ascii="Calibri" w:hAnsi="Calibri" w:cs="Calibri"/>
        </w:rPr>
        <w:t>Senior Lecturer</w:t>
      </w:r>
    </w:p>
    <w:p w14:paraId="20D9E1CE" w14:textId="77777777" w:rsidR="006C7DFE" w:rsidRDefault="006C7DFE" w:rsidP="006C7DFE">
      <w:pPr>
        <w:spacing w:line="360" w:lineRule="auto"/>
        <w:rPr>
          <w:rFonts w:ascii="Calibri" w:hAnsi="Calibri" w:cs="Calibri"/>
          <w:b/>
          <w:bCs/>
        </w:rPr>
      </w:pPr>
    </w:p>
    <w:p w14:paraId="6E9061C4" w14:textId="61B86A95" w:rsidR="006C7DFE" w:rsidRDefault="006C7DFE" w:rsidP="00714B1F">
      <w:pPr>
        <w:spacing w:line="360" w:lineRule="auto"/>
        <w:rPr>
          <w:rFonts w:ascii="Calibri" w:hAnsi="Calibri" w:cs="Calibri"/>
          <w:b/>
          <w:bCs/>
        </w:rPr>
      </w:pPr>
      <w:r w:rsidRPr="006C7DFE">
        <w:rPr>
          <w:rFonts w:ascii="Calibri" w:hAnsi="Calibri" w:cs="Calibri"/>
          <w:b/>
          <w:bCs/>
        </w:rPr>
        <w:t>Paper Session</w:t>
      </w:r>
    </w:p>
    <w:p w14:paraId="5C60F366" w14:textId="2AE772E4" w:rsidR="00714B1F" w:rsidRPr="00714B1F" w:rsidRDefault="00714B1F" w:rsidP="00714B1F">
      <w:pPr>
        <w:spacing w:line="360" w:lineRule="auto"/>
        <w:rPr>
          <w:rFonts w:ascii="Calibri" w:hAnsi="Calibri" w:cs="Calibri"/>
        </w:rPr>
      </w:pPr>
      <w:r w:rsidRPr="00714B1F">
        <w:rPr>
          <w:rFonts w:ascii="Calibri" w:hAnsi="Calibri" w:cs="Calibri"/>
          <w:b/>
          <w:bCs/>
        </w:rPr>
        <w:t>Title:</w:t>
      </w:r>
      <w:r w:rsidRPr="00714B1F">
        <w:rPr>
          <w:rFonts w:ascii="Calibri" w:hAnsi="Calibri" w:cs="Calibri"/>
        </w:rPr>
        <w:t xml:space="preserve"> </w:t>
      </w:r>
      <w:r w:rsidRPr="00714B1F">
        <w:rPr>
          <w:rFonts w:ascii="Calibri" w:hAnsi="Calibri" w:cs="Calibri"/>
          <w:i/>
          <w:iCs/>
        </w:rPr>
        <w:t>Listening at the Cultural Interface: Indigenous Community Leader Perspectives on Career Counsellor Education</w:t>
      </w:r>
      <w:r w:rsidRPr="00714B1F">
        <w:rPr>
          <w:rFonts w:ascii="Calibri" w:hAnsi="Calibri" w:cs="Calibri"/>
        </w:rPr>
        <w:t xml:space="preserve"> </w:t>
      </w:r>
    </w:p>
    <w:p w14:paraId="1E3C04AD" w14:textId="041B5951" w:rsidR="00714B1F" w:rsidRDefault="006C7DFE" w:rsidP="00714B1F">
      <w:pPr>
        <w:spacing w:line="360" w:lineRule="auto"/>
        <w:rPr>
          <w:rFonts w:ascii="Calibri" w:hAnsi="Calibri" w:cs="Calibri"/>
          <w:b/>
          <w:bCs/>
        </w:rPr>
      </w:pPr>
      <w:r>
        <w:rPr>
          <w:rFonts w:ascii="Calibri" w:hAnsi="Calibri" w:cs="Calibri"/>
          <w:b/>
          <w:bCs/>
        </w:rPr>
        <w:t xml:space="preserve">Theme: </w:t>
      </w:r>
      <w:r w:rsidRPr="006C7DFE">
        <w:rPr>
          <w:rFonts w:ascii="Calibri" w:hAnsi="Calibri" w:cs="Calibri"/>
          <w:b/>
          <w:bCs/>
        </w:rPr>
        <w:t>Pōhutukawa</w:t>
      </w:r>
    </w:p>
    <w:p w14:paraId="72B71F24" w14:textId="329CF75D" w:rsidR="006C7DFE" w:rsidRDefault="006C7DFE" w:rsidP="00714B1F">
      <w:pPr>
        <w:spacing w:line="360" w:lineRule="auto"/>
        <w:rPr>
          <w:rFonts w:ascii="Calibri" w:hAnsi="Calibri" w:cs="Calibri"/>
        </w:rPr>
      </w:pPr>
      <w:r>
        <w:rPr>
          <w:rFonts w:ascii="Calibri" w:hAnsi="Calibri" w:cs="Calibri"/>
          <w:b/>
          <w:bCs/>
        </w:rPr>
        <w:t>Presentation Language:</w:t>
      </w:r>
      <w:r w:rsidRPr="006C7DFE">
        <w:rPr>
          <w:rFonts w:ascii="Calibri" w:hAnsi="Calibri" w:cs="Calibri"/>
        </w:rPr>
        <w:t xml:space="preserve"> English</w:t>
      </w:r>
    </w:p>
    <w:p w14:paraId="628CE5FF" w14:textId="77777777" w:rsidR="006C7DFE" w:rsidRPr="00714B1F" w:rsidRDefault="006C7DFE" w:rsidP="00714B1F">
      <w:pPr>
        <w:spacing w:line="360" w:lineRule="auto"/>
        <w:rPr>
          <w:rFonts w:ascii="Calibri" w:hAnsi="Calibri" w:cs="Calibri"/>
          <w:b/>
          <w:bCs/>
        </w:rPr>
      </w:pPr>
    </w:p>
    <w:p w14:paraId="0D48A526" w14:textId="36357789" w:rsidR="00714B1F" w:rsidRDefault="006C7DFE" w:rsidP="00714B1F">
      <w:pPr>
        <w:spacing w:line="360" w:lineRule="auto"/>
        <w:rPr>
          <w:rFonts w:ascii="Calibri" w:hAnsi="Calibri" w:cs="Calibri"/>
          <w:b/>
          <w:bCs/>
        </w:rPr>
      </w:pPr>
      <w:r w:rsidRPr="006C7DFE">
        <w:rPr>
          <w:rFonts w:ascii="Calibri" w:hAnsi="Calibri" w:cs="Calibri"/>
          <w:b/>
          <w:bCs/>
        </w:rPr>
        <w:t>Abstract</w:t>
      </w:r>
    </w:p>
    <w:p w14:paraId="392FE47F" w14:textId="140DFEBF" w:rsidR="006C7DFE" w:rsidRPr="006C7DFE" w:rsidRDefault="006C7DFE" w:rsidP="00714B1F">
      <w:pPr>
        <w:spacing w:line="360" w:lineRule="auto"/>
        <w:rPr>
          <w:rFonts w:ascii="Calibri" w:hAnsi="Calibri" w:cs="Calibri"/>
        </w:rPr>
      </w:pPr>
      <w:r w:rsidRPr="00714B1F">
        <w:rPr>
          <w:rFonts w:ascii="Calibri" w:hAnsi="Calibri" w:cs="Calibri"/>
          <w:b/>
          <w:bCs/>
        </w:rPr>
        <w:t>Keywords:</w:t>
      </w:r>
      <w:r w:rsidRPr="00714B1F">
        <w:rPr>
          <w:rFonts w:ascii="Calibri" w:hAnsi="Calibri" w:cs="Calibri"/>
        </w:rPr>
        <w:t xml:space="preserve"> Career counsellor education, Indigenous knowledge, reflexivity</w:t>
      </w:r>
    </w:p>
    <w:p w14:paraId="373AC055" w14:textId="77F1AB61" w:rsidR="00714B1F" w:rsidRPr="00714B1F" w:rsidRDefault="00714B1F" w:rsidP="00714B1F">
      <w:pPr>
        <w:spacing w:line="360" w:lineRule="auto"/>
        <w:rPr>
          <w:rFonts w:ascii="Calibri" w:hAnsi="Calibri" w:cs="Calibri"/>
        </w:rPr>
      </w:pPr>
      <w:r w:rsidRPr="00714B1F">
        <w:rPr>
          <w:rFonts w:ascii="Calibri" w:hAnsi="Calibri" w:cs="Calibri"/>
          <w:b/>
          <w:bCs/>
        </w:rPr>
        <w:t>Introduction</w:t>
      </w:r>
    </w:p>
    <w:p w14:paraId="63F160D5" w14:textId="1482703F" w:rsidR="00714B1F" w:rsidRPr="00714B1F" w:rsidRDefault="00714B1F" w:rsidP="00714B1F">
      <w:pPr>
        <w:spacing w:line="360" w:lineRule="auto"/>
        <w:rPr>
          <w:rFonts w:ascii="Calibri" w:hAnsi="Calibri" w:cs="Calibri"/>
        </w:rPr>
      </w:pPr>
      <w:r w:rsidRPr="00714B1F">
        <w:rPr>
          <w:rFonts w:ascii="Calibri" w:hAnsi="Calibri" w:cs="Calibri"/>
        </w:rPr>
        <w:t xml:space="preserve">Career counselling in Australia continues to be shaped predominantly by Western, individualist frameworks (Gleeson &amp; Irving, 2013). For Aboriginal, Torres Strait Islander, and Pacific Islander peoples, however, career decision-making is embedded in relational, familial, and community contexts that existing counsellor preparation programs </w:t>
      </w:r>
      <w:r w:rsidRPr="00714B1F">
        <w:rPr>
          <w:rFonts w:ascii="Calibri" w:hAnsi="Calibri" w:cs="Calibri"/>
        </w:rPr>
        <w:t>do not always</w:t>
      </w:r>
      <w:r w:rsidRPr="00714B1F">
        <w:rPr>
          <w:rFonts w:ascii="Calibri" w:hAnsi="Calibri" w:cs="Calibri"/>
        </w:rPr>
        <w:t xml:space="preserve"> address (Lowe &amp; Tassone, 2001; Nakata, 2007). This pilot study responds to a documented gap in Australian career counselling education by centring Indigenous community leader knowledge in understanding what culturally responsive practitioner preparation should look like. The research </w:t>
      </w:r>
      <w:r w:rsidRPr="00714B1F">
        <w:rPr>
          <w:rFonts w:ascii="Calibri" w:hAnsi="Calibri" w:cs="Calibri"/>
        </w:rPr>
        <w:t>wa</w:t>
      </w:r>
      <w:r w:rsidRPr="00714B1F">
        <w:rPr>
          <w:rFonts w:ascii="Calibri" w:hAnsi="Calibri" w:cs="Calibri"/>
        </w:rPr>
        <w:t xml:space="preserve">s conducted by a non-Indigenous lecturer whose motivation </w:t>
      </w:r>
      <w:r w:rsidRPr="00714B1F">
        <w:rPr>
          <w:rFonts w:ascii="Calibri" w:hAnsi="Calibri" w:cs="Calibri"/>
        </w:rPr>
        <w:t>wa</w:t>
      </w:r>
      <w:r w:rsidRPr="00714B1F">
        <w:rPr>
          <w:rFonts w:ascii="Calibri" w:hAnsi="Calibri" w:cs="Calibri"/>
        </w:rPr>
        <w:t>s to better equip her own career development students to work effectively and respectfully with Indigenous young people and their communities.</w:t>
      </w:r>
    </w:p>
    <w:p w14:paraId="32A55386" w14:textId="77777777" w:rsidR="006C7DFE" w:rsidRDefault="006C7DFE" w:rsidP="00714B1F">
      <w:pPr>
        <w:spacing w:line="360" w:lineRule="auto"/>
        <w:rPr>
          <w:rFonts w:ascii="Calibri" w:hAnsi="Calibri" w:cs="Calibri"/>
          <w:b/>
          <w:bCs/>
        </w:rPr>
      </w:pPr>
    </w:p>
    <w:p w14:paraId="18975FF5" w14:textId="77777777" w:rsidR="006C7DFE" w:rsidRDefault="006C7DFE" w:rsidP="00714B1F">
      <w:pPr>
        <w:spacing w:line="360" w:lineRule="auto"/>
        <w:rPr>
          <w:rFonts w:ascii="Calibri" w:hAnsi="Calibri" w:cs="Calibri"/>
          <w:b/>
          <w:bCs/>
        </w:rPr>
      </w:pPr>
    </w:p>
    <w:p w14:paraId="3E1CB10F" w14:textId="0B82161F" w:rsidR="00714B1F" w:rsidRPr="00714B1F" w:rsidRDefault="00714B1F" w:rsidP="00714B1F">
      <w:pPr>
        <w:spacing w:line="360" w:lineRule="auto"/>
        <w:rPr>
          <w:rFonts w:ascii="Calibri" w:hAnsi="Calibri" w:cs="Calibri"/>
        </w:rPr>
      </w:pPr>
      <w:r w:rsidRPr="00714B1F">
        <w:rPr>
          <w:rFonts w:ascii="Calibri" w:hAnsi="Calibri" w:cs="Calibri"/>
          <w:b/>
          <w:bCs/>
        </w:rPr>
        <w:lastRenderedPageBreak/>
        <w:t>Objectives</w:t>
      </w:r>
    </w:p>
    <w:p w14:paraId="6DC15294" w14:textId="77777777" w:rsidR="00714B1F" w:rsidRPr="00714B1F" w:rsidRDefault="00714B1F" w:rsidP="00714B1F">
      <w:pPr>
        <w:spacing w:line="360" w:lineRule="auto"/>
        <w:rPr>
          <w:rFonts w:ascii="Calibri" w:hAnsi="Calibri" w:cs="Calibri"/>
        </w:rPr>
      </w:pPr>
      <w:r w:rsidRPr="00714B1F">
        <w:rPr>
          <w:rFonts w:ascii="Calibri" w:hAnsi="Calibri" w:cs="Calibri"/>
        </w:rPr>
        <w:t>The study sought to explore the perspectives of Aboriginal, Torres Strait Islander, and Pacific Islander community leaders on the cultural knowledge and relational competencies required by career development practitioners working with Indigenous young people and their communities.</w:t>
      </w:r>
    </w:p>
    <w:p w14:paraId="2C89F892" w14:textId="77777777" w:rsidR="00714B1F" w:rsidRPr="00714B1F" w:rsidRDefault="00714B1F" w:rsidP="00714B1F">
      <w:pPr>
        <w:spacing w:line="360" w:lineRule="auto"/>
        <w:rPr>
          <w:rFonts w:ascii="Calibri" w:hAnsi="Calibri" w:cs="Calibri"/>
        </w:rPr>
      </w:pPr>
      <w:r w:rsidRPr="00714B1F">
        <w:rPr>
          <w:rFonts w:ascii="Calibri" w:hAnsi="Calibri" w:cs="Calibri"/>
          <w:b/>
          <w:bCs/>
        </w:rPr>
        <w:t>Theoretical Basis</w:t>
      </w:r>
    </w:p>
    <w:p w14:paraId="4411B5CE" w14:textId="360A6DF8" w:rsidR="00714B1F" w:rsidRPr="00714B1F" w:rsidRDefault="00714B1F" w:rsidP="00714B1F">
      <w:pPr>
        <w:spacing w:line="360" w:lineRule="auto"/>
        <w:rPr>
          <w:rFonts w:ascii="Calibri" w:hAnsi="Calibri" w:cs="Calibri"/>
        </w:rPr>
      </w:pPr>
      <w:r w:rsidRPr="00714B1F">
        <w:rPr>
          <w:rFonts w:ascii="Calibri" w:hAnsi="Calibri" w:cs="Calibri"/>
        </w:rPr>
        <w:t>The study draws on Archer's (2007) reflexivity framework</w:t>
      </w:r>
      <w:r w:rsidR="00075F0B">
        <w:rPr>
          <w:rFonts w:ascii="Calibri" w:hAnsi="Calibri" w:cs="Calibri"/>
        </w:rPr>
        <w:t xml:space="preserve">, </w:t>
      </w:r>
      <w:r w:rsidRPr="00714B1F">
        <w:rPr>
          <w:rFonts w:ascii="Calibri" w:hAnsi="Calibri" w:cs="Calibri"/>
        </w:rPr>
        <w:t>specifically the Triple D process of Discern, Deliberate, and Decide</w:t>
      </w:r>
      <w:r w:rsidR="00075F0B">
        <w:rPr>
          <w:rFonts w:ascii="Calibri" w:hAnsi="Calibri" w:cs="Calibri"/>
        </w:rPr>
        <w:t>,</w:t>
      </w:r>
      <w:r w:rsidRPr="00714B1F">
        <w:rPr>
          <w:rFonts w:ascii="Calibri" w:hAnsi="Calibri" w:cs="Calibri"/>
        </w:rPr>
        <w:t xml:space="preserve"> as a meta-theoretical tool for examining how practitioners might navigate between Western career paradigms and Indigenous knowledge systems. Nakata's (2007) concept of the cultural interface provides a complementary lens, positioning the space between knowledge systems not as a problem to be resolved, but as a dynamic site requiring ongoing reflexive engagement.</w:t>
      </w:r>
    </w:p>
    <w:p w14:paraId="76788596" w14:textId="77777777" w:rsidR="00714B1F" w:rsidRPr="00714B1F" w:rsidRDefault="00714B1F" w:rsidP="00714B1F">
      <w:pPr>
        <w:spacing w:line="360" w:lineRule="auto"/>
        <w:rPr>
          <w:rFonts w:ascii="Calibri" w:hAnsi="Calibri" w:cs="Calibri"/>
        </w:rPr>
      </w:pPr>
      <w:r w:rsidRPr="00714B1F">
        <w:rPr>
          <w:rFonts w:ascii="Calibri" w:hAnsi="Calibri" w:cs="Calibri"/>
          <w:b/>
          <w:bCs/>
        </w:rPr>
        <w:t>Methodology</w:t>
      </w:r>
    </w:p>
    <w:p w14:paraId="15A325FD" w14:textId="6395DA71" w:rsidR="00714B1F" w:rsidRPr="006C7DFE" w:rsidRDefault="00714B1F" w:rsidP="00714B1F">
      <w:pPr>
        <w:spacing w:line="360" w:lineRule="auto"/>
        <w:rPr>
          <w:rFonts w:ascii="Calibri" w:hAnsi="Calibri" w:cs="Calibri"/>
        </w:rPr>
      </w:pPr>
      <w:r w:rsidRPr="00714B1F">
        <w:rPr>
          <w:rFonts w:ascii="Calibri" w:hAnsi="Calibri" w:cs="Calibri"/>
        </w:rPr>
        <w:t xml:space="preserve">Semi-structured interviews were conducted with six Indigenous community leaders </w:t>
      </w:r>
      <w:r w:rsidR="00075F0B">
        <w:rPr>
          <w:rFonts w:ascii="Calibri" w:hAnsi="Calibri" w:cs="Calibri"/>
        </w:rPr>
        <w:t>-</w:t>
      </w:r>
      <w:r w:rsidRPr="00714B1F">
        <w:rPr>
          <w:rFonts w:ascii="Calibri" w:hAnsi="Calibri" w:cs="Calibri"/>
        </w:rPr>
        <w:t xml:space="preserve"> three men and three women </w:t>
      </w:r>
      <w:r w:rsidR="00075F0B">
        <w:rPr>
          <w:rFonts w:ascii="Calibri" w:hAnsi="Calibri" w:cs="Calibri"/>
        </w:rPr>
        <w:t>-</w:t>
      </w:r>
      <w:r w:rsidRPr="00714B1F">
        <w:rPr>
          <w:rFonts w:ascii="Calibri" w:hAnsi="Calibri" w:cs="Calibri"/>
        </w:rPr>
        <w:t xml:space="preserve"> each representing Aboriginal, Torres Strait Islander, and Pacific Islander communities. Participants were identified through purposive sampling on the basis of their expertise and standing within their communities, and interviews were conducted in accordance with cultural protocols and institutional ethics approval. Researcher reflexivity was applied throughout the study, consistent with its theoretical framework. These leader perspectives are situated within a broader study that also include</w:t>
      </w:r>
      <w:r w:rsidR="00AD7033">
        <w:rPr>
          <w:rFonts w:ascii="Calibri" w:hAnsi="Calibri" w:cs="Calibri"/>
        </w:rPr>
        <w:t>d</w:t>
      </w:r>
      <w:r w:rsidRPr="00714B1F">
        <w:rPr>
          <w:rFonts w:ascii="Calibri" w:hAnsi="Calibri" w:cs="Calibri"/>
        </w:rPr>
        <w:t xml:space="preserve"> focus groups with career development practitioners and a survey of postgraduate career counselling students, providing triangulated context for the findings reported here. Data were analysed using Braun and Clarke's (2021) reflexive thematic analysis.</w:t>
      </w:r>
    </w:p>
    <w:p w14:paraId="730F9365" w14:textId="14DDA22C" w:rsidR="00714B1F" w:rsidRPr="00714B1F" w:rsidRDefault="00714B1F" w:rsidP="00714B1F">
      <w:pPr>
        <w:spacing w:line="360" w:lineRule="auto"/>
        <w:rPr>
          <w:rFonts w:ascii="Calibri" w:hAnsi="Calibri" w:cs="Calibri"/>
        </w:rPr>
      </w:pPr>
      <w:r w:rsidRPr="00714B1F">
        <w:rPr>
          <w:rFonts w:ascii="Calibri" w:hAnsi="Calibri" w:cs="Calibri"/>
          <w:b/>
          <w:bCs/>
        </w:rPr>
        <w:t>Results</w:t>
      </w:r>
    </w:p>
    <w:p w14:paraId="37967417" w14:textId="10C0138F" w:rsidR="00714B1F" w:rsidRPr="00714B1F" w:rsidRDefault="00714B1F" w:rsidP="00714B1F">
      <w:pPr>
        <w:spacing w:line="360" w:lineRule="auto"/>
        <w:rPr>
          <w:rFonts w:ascii="Calibri" w:hAnsi="Calibri" w:cs="Calibri"/>
        </w:rPr>
      </w:pPr>
      <w:r w:rsidRPr="00714B1F">
        <w:rPr>
          <w:rFonts w:ascii="Calibri" w:hAnsi="Calibri" w:cs="Calibri"/>
        </w:rPr>
        <w:t>Preliminary analysis reveals two interconnected themes. The first concerns the relational conditions necessary for effective career practice. Participants identified that career development practitioners are frequently unknown to Indigenous students and families, functioning as outsiders rather than trusted relationships. Meaningful practice, they emphasised, requires practitioners to become genuinely embedded in community contexts over time. The second theme concerns the orientation of career decision-making. Participants emphasised the central role of family and community in how Indigenous young people understand and navigate career decisions, while also expressing a genuine desire for young people to access individual opportunities and pathways. These two orientations were held together rather than in opposition, reflecting a more complex picture than dominant Western career frameworks typically accommodate.</w:t>
      </w:r>
    </w:p>
    <w:p w14:paraId="21F06D80" w14:textId="77777777" w:rsidR="00714B1F" w:rsidRPr="00714B1F" w:rsidRDefault="00714B1F" w:rsidP="00714B1F">
      <w:pPr>
        <w:spacing w:line="360" w:lineRule="auto"/>
        <w:rPr>
          <w:rFonts w:ascii="Calibri" w:hAnsi="Calibri" w:cs="Calibri"/>
        </w:rPr>
      </w:pPr>
      <w:r w:rsidRPr="00714B1F">
        <w:rPr>
          <w:rFonts w:ascii="Calibri" w:hAnsi="Calibri" w:cs="Calibri"/>
          <w:b/>
          <w:bCs/>
        </w:rPr>
        <w:t>Conclusions</w:t>
      </w:r>
    </w:p>
    <w:p w14:paraId="1FA5847E" w14:textId="492992AB" w:rsidR="00714B1F" w:rsidRPr="00714B1F" w:rsidRDefault="00714B1F" w:rsidP="00714B1F">
      <w:pPr>
        <w:spacing w:line="360" w:lineRule="auto"/>
        <w:rPr>
          <w:rFonts w:ascii="Calibri" w:hAnsi="Calibri" w:cs="Calibri"/>
        </w:rPr>
      </w:pPr>
      <w:r w:rsidRPr="00714B1F">
        <w:rPr>
          <w:rFonts w:ascii="Calibri" w:hAnsi="Calibri" w:cs="Calibri"/>
        </w:rPr>
        <w:t>These findings suggest that culturally responsive career counsellor education must move beyond content add-ons to address the relational and epistemological foundations of practice. Archer's (2007) reflexivity framework offers a structured yet flexible tool for supporting practitioners to discern cultural context, deliberate across knowledge systems, and make informed professional decisions. In particular, findings suggest that rather than assuming a career conversation is either individually or collectively oriented, practitioners may need to explicitly invite this conversation  perhaps by creating space early in the process for young people and their families to arrive at a shared understanding together. This study contributes to an emerging body of work calling for the decolonisation of career counsellor education in Australia and internationally.</w:t>
      </w:r>
    </w:p>
    <w:p w14:paraId="2BD8AA12" w14:textId="77777777" w:rsidR="00714B1F" w:rsidRPr="00714B1F" w:rsidRDefault="00714B1F" w:rsidP="00714B1F">
      <w:r w:rsidRPr="00714B1F">
        <w:rPr>
          <w:b/>
          <w:bCs/>
        </w:rPr>
        <w:t>References</w:t>
      </w:r>
    </w:p>
    <w:p w14:paraId="32013547" w14:textId="1D2D47AD" w:rsidR="00714B1F" w:rsidRPr="00714B1F" w:rsidRDefault="00714B1F" w:rsidP="00714B1F">
      <w:r w:rsidRPr="00714B1F">
        <w:t xml:space="preserve">Archer, M. S. (2007). </w:t>
      </w:r>
      <w:r w:rsidRPr="00714B1F">
        <w:rPr>
          <w:i/>
          <w:iCs/>
        </w:rPr>
        <w:t>Making our way through the world: Human reflexivity and social mobility</w:t>
      </w:r>
      <w:r w:rsidRPr="00714B1F">
        <w:t xml:space="preserve">. </w:t>
      </w:r>
      <w:r w:rsidR="00AD7033">
        <w:br/>
        <w:t xml:space="preserve">  </w:t>
      </w:r>
      <w:r w:rsidRPr="00714B1F">
        <w:t>Cambridge University Press.</w:t>
      </w:r>
    </w:p>
    <w:p w14:paraId="7365BC3B" w14:textId="77777777" w:rsidR="00714B1F" w:rsidRPr="00714B1F" w:rsidRDefault="00714B1F" w:rsidP="00714B1F">
      <w:r w:rsidRPr="00714B1F">
        <w:t xml:space="preserve">Braun, V., &amp; Clarke, V. (2021). </w:t>
      </w:r>
      <w:r w:rsidRPr="00714B1F">
        <w:rPr>
          <w:i/>
          <w:iCs/>
        </w:rPr>
        <w:t>Thematic analysis: A practical guide</w:t>
      </w:r>
      <w:r w:rsidRPr="00714B1F">
        <w:t>. SAGE.</w:t>
      </w:r>
    </w:p>
    <w:p w14:paraId="20F322AA" w14:textId="03A042F5" w:rsidR="00714B1F" w:rsidRPr="00714B1F" w:rsidRDefault="00714B1F" w:rsidP="00714B1F">
      <w:r w:rsidRPr="00714B1F">
        <w:t xml:space="preserve">Gleeson, J., &amp; Irving, B. A. (2013). </w:t>
      </w:r>
      <w:r w:rsidRPr="00714B1F">
        <w:rPr>
          <w:i/>
          <w:iCs/>
        </w:rPr>
        <w:t xml:space="preserve">Re/constructing meaningful futures for Australian Aboriginal </w:t>
      </w:r>
      <w:r w:rsidR="00AD7033">
        <w:rPr>
          <w:i/>
          <w:iCs/>
        </w:rPr>
        <w:br/>
        <w:t xml:space="preserve">  </w:t>
      </w:r>
      <w:r w:rsidRPr="00714B1F">
        <w:rPr>
          <w:i/>
          <w:iCs/>
        </w:rPr>
        <w:t>communities in remote areas: Should the white career practitioner stay at home?</w:t>
      </w:r>
      <w:r w:rsidRPr="00714B1F">
        <w:t xml:space="preserve"> Paper </w:t>
      </w:r>
      <w:r w:rsidR="00AD7033">
        <w:br/>
        <w:t xml:space="preserve">  </w:t>
      </w:r>
      <w:r w:rsidRPr="00714B1F">
        <w:t>presented at the IAEVG Conference, Montpellier, France.</w:t>
      </w:r>
    </w:p>
    <w:p w14:paraId="2A8597B8" w14:textId="7158C131" w:rsidR="00714B1F" w:rsidRPr="00714B1F" w:rsidRDefault="00714B1F" w:rsidP="00714B1F">
      <w:pPr>
        <w:rPr>
          <w:i/>
          <w:iCs/>
        </w:rPr>
      </w:pPr>
      <w:r w:rsidRPr="00714B1F">
        <w:t xml:space="preserve">Lowe, K., &amp; Tassone, J. (2001). </w:t>
      </w:r>
      <w:r w:rsidRPr="00714B1F">
        <w:rPr>
          <w:i/>
          <w:iCs/>
        </w:rPr>
        <w:t xml:space="preserve">Aboriginal career aspirations program: School and community </w:t>
      </w:r>
      <w:r w:rsidR="00AD7033">
        <w:rPr>
          <w:i/>
          <w:iCs/>
        </w:rPr>
        <w:t xml:space="preserve">    </w:t>
      </w:r>
      <w:r w:rsidR="00AD7033">
        <w:rPr>
          <w:i/>
          <w:iCs/>
        </w:rPr>
        <w:br/>
        <w:t xml:space="preserve">  </w:t>
      </w:r>
      <w:r w:rsidRPr="00714B1F">
        <w:rPr>
          <w:i/>
          <w:iCs/>
        </w:rPr>
        <w:t>career education.</w:t>
      </w:r>
      <w:r w:rsidRPr="00714B1F">
        <w:t xml:space="preserve"> NSW Board of Studies.</w:t>
      </w:r>
    </w:p>
    <w:p w14:paraId="621A3E04" w14:textId="7B9D9F90" w:rsidR="00714B1F" w:rsidRPr="00714B1F" w:rsidRDefault="00714B1F" w:rsidP="00714B1F">
      <w:r w:rsidRPr="00714B1F">
        <w:t xml:space="preserve">Nakata, M. (2007). The cultural interface. </w:t>
      </w:r>
      <w:r w:rsidRPr="00714B1F">
        <w:rPr>
          <w:i/>
          <w:iCs/>
        </w:rPr>
        <w:t xml:space="preserve">The Australian Journal of Indigenous Education, </w:t>
      </w:r>
      <w:r w:rsidR="00AD7033">
        <w:rPr>
          <w:i/>
          <w:iCs/>
        </w:rPr>
        <w:br/>
        <w:t xml:space="preserve">  </w:t>
      </w:r>
      <w:r w:rsidRPr="00714B1F">
        <w:rPr>
          <w:i/>
          <w:iCs/>
        </w:rPr>
        <w:t>36</w:t>
      </w:r>
      <w:r w:rsidRPr="00714B1F">
        <w:t>(Supplement), 7–14.</w:t>
      </w:r>
    </w:p>
    <w:p w14:paraId="69D0F082" w14:textId="77777777" w:rsidR="00121782" w:rsidRDefault="00121782"/>
    <w:sectPr w:rsidR="001217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1F"/>
    <w:rsid w:val="00075F0B"/>
    <w:rsid w:val="00121782"/>
    <w:rsid w:val="00596D9E"/>
    <w:rsid w:val="006C7DFE"/>
    <w:rsid w:val="00714B1F"/>
    <w:rsid w:val="0078029A"/>
    <w:rsid w:val="00AD7033"/>
    <w:rsid w:val="00D34A1A"/>
    <w:rsid w:val="00E30400"/>
    <w:rsid w:val="00ED7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AC70"/>
  <w15:chartTrackingRefBased/>
  <w15:docId w15:val="{B75F854E-F6BF-4BB4-8F04-FAAD27A92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4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B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B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B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B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4B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B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B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B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B1F"/>
    <w:rPr>
      <w:rFonts w:eastAsiaTheme="majorEastAsia" w:cstheme="majorBidi"/>
      <w:color w:val="272727" w:themeColor="text1" w:themeTint="D8"/>
    </w:rPr>
  </w:style>
  <w:style w:type="paragraph" w:styleId="Title">
    <w:name w:val="Title"/>
    <w:basedOn w:val="Normal"/>
    <w:next w:val="Normal"/>
    <w:link w:val="TitleChar"/>
    <w:uiPriority w:val="10"/>
    <w:qFormat/>
    <w:rsid w:val="00714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B1F"/>
    <w:pPr>
      <w:spacing w:before="160"/>
      <w:jc w:val="center"/>
    </w:pPr>
    <w:rPr>
      <w:i/>
      <w:iCs/>
      <w:color w:val="404040" w:themeColor="text1" w:themeTint="BF"/>
    </w:rPr>
  </w:style>
  <w:style w:type="character" w:customStyle="1" w:styleId="QuoteChar">
    <w:name w:val="Quote Char"/>
    <w:basedOn w:val="DefaultParagraphFont"/>
    <w:link w:val="Quote"/>
    <w:uiPriority w:val="29"/>
    <w:rsid w:val="00714B1F"/>
    <w:rPr>
      <w:i/>
      <w:iCs/>
      <w:color w:val="404040" w:themeColor="text1" w:themeTint="BF"/>
    </w:rPr>
  </w:style>
  <w:style w:type="paragraph" w:styleId="ListParagraph">
    <w:name w:val="List Paragraph"/>
    <w:basedOn w:val="Normal"/>
    <w:uiPriority w:val="34"/>
    <w:qFormat/>
    <w:rsid w:val="00714B1F"/>
    <w:pPr>
      <w:ind w:left="720"/>
      <w:contextualSpacing/>
    </w:pPr>
  </w:style>
  <w:style w:type="character" w:styleId="IntenseEmphasis">
    <w:name w:val="Intense Emphasis"/>
    <w:basedOn w:val="DefaultParagraphFont"/>
    <w:uiPriority w:val="21"/>
    <w:qFormat/>
    <w:rsid w:val="00714B1F"/>
    <w:rPr>
      <w:i/>
      <w:iCs/>
      <w:color w:val="0F4761" w:themeColor="accent1" w:themeShade="BF"/>
    </w:rPr>
  </w:style>
  <w:style w:type="paragraph" w:styleId="IntenseQuote">
    <w:name w:val="Intense Quote"/>
    <w:basedOn w:val="Normal"/>
    <w:next w:val="Normal"/>
    <w:link w:val="IntenseQuoteChar"/>
    <w:uiPriority w:val="30"/>
    <w:qFormat/>
    <w:rsid w:val="00714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B1F"/>
    <w:rPr>
      <w:i/>
      <w:iCs/>
      <w:color w:val="0F4761" w:themeColor="accent1" w:themeShade="BF"/>
    </w:rPr>
  </w:style>
  <w:style w:type="character" w:styleId="IntenseReference">
    <w:name w:val="Intense Reference"/>
    <w:basedOn w:val="DefaultParagraphFont"/>
    <w:uiPriority w:val="32"/>
    <w:qFormat/>
    <w:rsid w:val="00714B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713</Words>
  <Characters>4760</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Munro</dc:creator>
  <cp:keywords/>
  <dc:description/>
  <cp:lastModifiedBy>Deborah Munro</cp:lastModifiedBy>
  <cp:revision>5</cp:revision>
  <dcterms:created xsi:type="dcterms:W3CDTF">2026-04-08T05:33:00Z</dcterms:created>
  <dcterms:modified xsi:type="dcterms:W3CDTF">2026-04-08T05:57:00Z</dcterms:modified>
</cp:coreProperties>
</file>