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B6ED1" w14:textId="77777777" w:rsidR="005B5BF8" w:rsidRDefault="00000000">
      <w:pPr>
        <w:pStyle w:val="Title"/>
      </w:pPr>
      <w:r>
        <w:t>IAEVG 2026 Conference Proposal</w:t>
      </w:r>
    </w:p>
    <w:p w14:paraId="65B6FC86" w14:textId="77777777" w:rsidR="005B5BF8" w:rsidRDefault="00000000">
      <w:pPr>
        <w:jc w:val="left"/>
      </w:pPr>
      <w:r w:rsidRPr="00883584">
        <w:rPr>
          <w:b/>
          <w:bCs/>
        </w:rPr>
        <w:t xml:space="preserve">Title of workshop: </w:t>
      </w:r>
      <w:r>
        <w:t>Work Participation Resilience: Rethinking the “Unmotivated” Client</w:t>
      </w:r>
    </w:p>
    <w:p w14:paraId="38028E27" w14:textId="77777777" w:rsidR="005B5BF8" w:rsidRDefault="00000000" w:rsidP="00883584">
      <w:pPr>
        <w:ind w:firstLine="720"/>
      </w:pPr>
      <w:r w:rsidRPr="00883584">
        <w:rPr>
          <w:b/>
          <w:bCs/>
        </w:rPr>
        <w:t xml:space="preserve">Subtitle: </w:t>
      </w:r>
      <w:r>
        <w:t>Seeing resistance, disengagement, and readiness differently in career practice</w:t>
      </w:r>
    </w:p>
    <w:p w14:paraId="5514301B" w14:textId="77777777" w:rsidR="005B5BF8" w:rsidRDefault="00000000">
      <w:pPr>
        <w:jc w:val="left"/>
      </w:pPr>
      <w:r>
        <w:rPr>
          <w:b/>
        </w:rPr>
        <w:t xml:space="preserve">Presentation format: </w:t>
      </w:r>
      <w:r>
        <w:t>Workshop of practices</w:t>
      </w:r>
    </w:p>
    <w:p w14:paraId="02864FA8" w14:textId="77777777" w:rsidR="005B5BF8" w:rsidRDefault="00000000">
      <w:pPr>
        <w:jc w:val="left"/>
      </w:pPr>
      <w:r>
        <w:rPr>
          <w:b/>
        </w:rPr>
        <w:t xml:space="preserve">Presentation language: </w:t>
      </w:r>
      <w:r>
        <w:t>English</w:t>
      </w:r>
    </w:p>
    <w:p w14:paraId="71302A5E" w14:textId="0A698400" w:rsidR="008A6EAA" w:rsidRDefault="00D00E69">
      <w:pPr>
        <w:jc w:val="left"/>
      </w:pPr>
      <w:r>
        <w:rPr>
          <w:b/>
        </w:rPr>
        <w:t xml:space="preserve">Main </w:t>
      </w:r>
      <w:r w:rsidR="0050164D">
        <w:rPr>
          <w:b/>
        </w:rPr>
        <w:t>T</w:t>
      </w:r>
      <w:r w:rsidR="00000000">
        <w:rPr>
          <w:b/>
        </w:rPr>
        <w:t>heme</w:t>
      </w:r>
      <w:r w:rsidR="002B47CD">
        <w:rPr>
          <w:b/>
        </w:rPr>
        <w:t>s</w:t>
      </w:r>
      <w:r w:rsidR="00000000">
        <w:rPr>
          <w:b/>
        </w:rPr>
        <w:t xml:space="preserve">: </w:t>
      </w:r>
      <w:r w:rsidR="00000000">
        <w:t>Best Practice (</w:t>
      </w:r>
      <w:proofErr w:type="spellStart"/>
      <w:r w:rsidR="00000000">
        <w:t>Tupuānuku</w:t>
      </w:r>
      <w:proofErr w:type="spellEnd"/>
      <w:r w:rsidR="00000000">
        <w:t>)</w:t>
      </w:r>
      <w:r w:rsidR="002B47CD">
        <w:t>; Motivation</w:t>
      </w:r>
    </w:p>
    <w:p w14:paraId="75AA9D52" w14:textId="689C567D" w:rsidR="005B5BF8" w:rsidRDefault="008A6EAA" w:rsidP="008A6EAA">
      <w:pPr>
        <w:ind w:firstLine="720"/>
        <w:jc w:val="left"/>
      </w:pPr>
      <w:r w:rsidRPr="008A6EAA">
        <w:rPr>
          <w:b/>
          <w:bCs/>
        </w:rPr>
        <w:t xml:space="preserve">Sub-themes: </w:t>
      </w:r>
      <w:r w:rsidR="00C70F39" w:rsidRPr="00C70F39">
        <w:t>Wellbeing (</w:t>
      </w:r>
      <w:proofErr w:type="spellStart"/>
      <w:r w:rsidR="00C70F39" w:rsidRPr="00C70F39">
        <w:t>Matariki</w:t>
      </w:r>
      <w:proofErr w:type="spellEnd"/>
      <w:r w:rsidR="00C70F39" w:rsidRPr="00C70F39">
        <w:t>); Indigenous Knowledge (Pōhutukawa)</w:t>
      </w:r>
    </w:p>
    <w:p w14:paraId="2D6242F6" w14:textId="77777777" w:rsidR="005B5BF8" w:rsidRDefault="00000000">
      <w:pPr>
        <w:jc w:val="left"/>
      </w:pPr>
      <w:r w:rsidRPr="00843C60">
        <w:rPr>
          <w:b/>
          <w:bCs/>
        </w:rPr>
        <w:t xml:space="preserve">Workshop format: </w:t>
      </w:r>
      <w:r>
        <w:t>Presentation-based with short reflective activities and case application</w:t>
      </w:r>
    </w:p>
    <w:p w14:paraId="029CAF7C" w14:textId="77777777" w:rsidR="00460B85" w:rsidRDefault="00460B85">
      <w:pPr>
        <w:jc w:val="left"/>
      </w:pPr>
    </w:p>
    <w:p w14:paraId="2DAF9EA0" w14:textId="07AFE97A" w:rsidR="005B5BF8" w:rsidRDefault="00000000">
      <w:pPr>
        <w:jc w:val="left"/>
      </w:pPr>
      <w:r w:rsidRPr="00843C60">
        <w:rPr>
          <w:b/>
          <w:bCs/>
        </w:rPr>
        <w:t xml:space="preserve">Target audience: </w:t>
      </w:r>
      <w:r>
        <w:t>Career practitioners, career advisers, career counsellors, educators, case managers, vocational rehabilitation providers, and workplace leaders supporting people affected by work disruption, unemployment, injury, disability, or major career transition</w:t>
      </w:r>
    </w:p>
    <w:p w14:paraId="634DDD38" w14:textId="77777777" w:rsidR="00460B85" w:rsidRDefault="00460B85">
      <w:pPr>
        <w:jc w:val="left"/>
        <w:rPr>
          <w:b/>
        </w:rPr>
      </w:pPr>
    </w:p>
    <w:p w14:paraId="45653000" w14:textId="7A27C8C3" w:rsidR="005B5BF8" w:rsidRDefault="00000000">
      <w:pPr>
        <w:jc w:val="left"/>
      </w:pPr>
      <w:r>
        <w:rPr>
          <w:b/>
        </w:rPr>
        <w:t xml:space="preserve">Keywords: </w:t>
      </w:r>
      <w:r>
        <w:t>work participation resilience; adaptive work capacity; vocational rehabilitation; career development; psychological flexibility</w:t>
      </w:r>
    </w:p>
    <w:p w14:paraId="4DB94F53" w14:textId="77777777" w:rsidR="00460B85" w:rsidRDefault="00460B85">
      <w:pPr>
        <w:rPr>
          <w:b/>
        </w:rPr>
      </w:pPr>
    </w:p>
    <w:p w14:paraId="2D2360A3" w14:textId="3D24F434" w:rsidR="00E406BA" w:rsidRDefault="00000000">
      <w:r>
        <w:rPr>
          <w:b/>
        </w:rPr>
        <w:t>Workshop objectives:</w:t>
      </w:r>
    </w:p>
    <w:p w14:paraId="413F15F8" w14:textId="77777777" w:rsidR="00E406BA" w:rsidRDefault="00000000">
      <w:pPr>
        <w:pStyle w:val="ListBullet"/>
      </w:pPr>
      <w:r>
        <w:t>Recognise early signs of disengagement before they become entrenched.</w:t>
      </w:r>
    </w:p>
    <w:p w14:paraId="2C3AB33F" w14:textId="32A732F5" w:rsidR="00E406BA" w:rsidRDefault="00000000">
      <w:pPr>
        <w:pStyle w:val="ListBullet"/>
      </w:pPr>
      <w:r>
        <w:t>Distinguish psychological inflexibility from disengagement so more appropriate intervention responses can be chosen.</w:t>
      </w:r>
    </w:p>
    <w:p w14:paraId="62FB3DCB" w14:textId="77777777" w:rsidR="00E406BA" w:rsidRDefault="00000000">
      <w:pPr>
        <w:pStyle w:val="ListBullet"/>
      </w:pPr>
      <w:r>
        <w:t>Use at least one autonomy-supportive technique to reduce system tension and support engagement within practice or across support systems.</w:t>
      </w:r>
    </w:p>
    <w:p w14:paraId="73BEB4DE" w14:textId="77777777" w:rsidR="00460B85" w:rsidRDefault="00460B85">
      <w:pPr>
        <w:spacing w:after="200" w:line="276" w:lineRule="auto"/>
        <w:jc w:val="left"/>
        <w:rPr>
          <w:rFonts w:asciiTheme="majorHAnsi" w:eastAsiaTheme="majorEastAsia" w:hAnsiTheme="majorHAnsi" w:cstheme="majorBidi"/>
          <w:b/>
          <w:bCs/>
          <w:color w:val="365F91" w:themeColor="accent1" w:themeShade="BF"/>
          <w:szCs w:val="28"/>
        </w:rPr>
      </w:pPr>
      <w:r>
        <w:br w:type="page"/>
      </w:r>
    </w:p>
    <w:p w14:paraId="55EF3B9A" w14:textId="6A4EFFF8" w:rsidR="005B5BF8" w:rsidRDefault="00000000">
      <w:pPr>
        <w:pStyle w:val="Heading1"/>
      </w:pPr>
      <w:r>
        <w:lastRenderedPageBreak/>
        <w:t>Abstract</w:t>
      </w:r>
    </w:p>
    <w:p w14:paraId="7493657A" w14:textId="77777777" w:rsidR="00B70FF7" w:rsidRPr="00B70FF7" w:rsidRDefault="00B70FF7" w:rsidP="00B70FF7">
      <w:pPr>
        <w:rPr>
          <w:lang w:val="en-NZ"/>
        </w:rPr>
      </w:pPr>
      <w:r w:rsidRPr="00B70FF7">
        <w:rPr>
          <w:lang w:val="en-NZ"/>
        </w:rPr>
        <w:t xml:space="preserve">Career practitioners, educators, case managers, and other support professionals are often expected to motivate clients into action, yet some clients can seem impossible to motivate. In vocational rehabilitation, redundancy, workplace change, and other disrupted work contexts, early disengagement is often interpreted as low motivation, resistance, or a sign that the person does not really care. This workshop challenges that assumption. Drawing on practice-based insights and critical reviews of motivation and behaviour change in vocational rehabilitation, it argues that what gets labelled a motivation problem is often something else: a failure to build the right foundations for engagement (Prochaska &amp; </w:t>
      </w:r>
      <w:proofErr w:type="spellStart"/>
      <w:r w:rsidRPr="00B70FF7">
        <w:rPr>
          <w:lang w:val="en-NZ"/>
        </w:rPr>
        <w:t>Velicer</w:t>
      </w:r>
      <w:proofErr w:type="spellEnd"/>
      <w:r w:rsidRPr="00B70FF7">
        <w:rPr>
          <w:lang w:val="en-NZ"/>
        </w:rPr>
        <w:t>, 1997; Lev Arey et al., 2022; Yıldız, 2020).</w:t>
      </w:r>
    </w:p>
    <w:p w14:paraId="55A8EEA8" w14:textId="077A88D0" w:rsidR="00B70FF7" w:rsidRPr="00B70FF7" w:rsidRDefault="00B70FF7" w:rsidP="00B70FF7">
      <w:pPr>
        <w:rPr>
          <w:lang w:val="en-NZ"/>
        </w:rPr>
      </w:pPr>
      <w:r w:rsidRPr="00B70FF7">
        <w:rPr>
          <w:lang w:val="en-NZ"/>
        </w:rPr>
        <w:t xml:space="preserve">Disengagement often starts well before it becomes visible. By the time a client stops responding, avoids planning conversations, rejects support, or appears passive, </w:t>
      </w:r>
      <w:r w:rsidR="002A4BD0">
        <w:rPr>
          <w:lang w:val="en-NZ"/>
        </w:rPr>
        <w:t xml:space="preserve">resistance has reached a critical </w:t>
      </w:r>
      <w:proofErr w:type="gramStart"/>
      <w:r w:rsidR="002A4BD0">
        <w:rPr>
          <w:lang w:val="en-NZ"/>
        </w:rPr>
        <w:t>threshold</w:t>
      </w:r>
      <w:proofErr w:type="gramEnd"/>
      <w:r w:rsidR="002A4BD0">
        <w:rPr>
          <w:lang w:val="en-NZ"/>
        </w:rPr>
        <w:t xml:space="preserve"> and </w:t>
      </w:r>
      <w:r w:rsidRPr="00B70FF7">
        <w:rPr>
          <w:lang w:val="en-NZ"/>
        </w:rPr>
        <w:t xml:space="preserve">the process </w:t>
      </w:r>
      <w:r w:rsidR="002A4BD0">
        <w:rPr>
          <w:lang w:val="en-NZ"/>
        </w:rPr>
        <w:t xml:space="preserve">is then </w:t>
      </w:r>
      <w:r w:rsidRPr="00B70FF7">
        <w:rPr>
          <w:lang w:val="en-NZ"/>
        </w:rPr>
        <w:t xml:space="preserve">complicated by psychological inflexibility, low trust, or system tension (Andreassen, 2021; Suszek et al., 2025). In these circumstances, pushing harder on action can deepen the problem. The workshop proposes </w:t>
      </w:r>
      <w:r w:rsidRPr="005A5C67">
        <w:rPr>
          <w:lang w:val="en-NZ"/>
        </w:rPr>
        <w:t>work participation resilience</w:t>
      </w:r>
      <w:r w:rsidRPr="00B70FF7">
        <w:rPr>
          <w:lang w:val="en-NZ"/>
        </w:rPr>
        <w:t xml:space="preserve"> as a useful category for career development practice, vocational rehabilitation, and workplace support. Work participation resilience is defined here as the ability to respond to planned change, disruption, loss, or reduced capacity in ways that support ongoing or renewed participation in meaningful work, whether through staying, adapting, changing direction, or re-engaging differently.</w:t>
      </w:r>
    </w:p>
    <w:p w14:paraId="4CD88E41" w14:textId="37196232" w:rsidR="00B70FF7" w:rsidRPr="00B70FF7" w:rsidRDefault="00B70FF7" w:rsidP="00B70FF7">
      <w:pPr>
        <w:rPr>
          <w:lang w:val="en-NZ"/>
        </w:rPr>
      </w:pPr>
      <w:r w:rsidRPr="00B70FF7">
        <w:rPr>
          <w:lang w:val="en-NZ"/>
        </w:rPr>
        <w:t xml:space="preserve">The session introduces </w:t>
      </w:r>
      <w:r w:rsidR="002364F7">
        <w:rPr>
          <w:lang w:val="en-NZ"/>
        </w:rPr>
        <w:t xml:space="preserve">adaptive work capacity as </w:t>
      </w:r>
      <w:r w:rsidRPr="00B70FF7">
        <w:rPr>
          <w:lang w:val="en-NZ"/>
        </w:rPr>
        <w:t>an emerging</w:t>
      </w:r>
      <w:r w:rsidR="00C54F37">
        <w:rPr>
          <w:lang w:val="en-NZ"/>
        </w:rPr>
        <w:t xml:space="preserve"> </w:t>
      </w:r>
      <w:r w:rsidRPr="00B70FF7">
        <w:rPr>
          <w:lang w:val="en-NZ"/>
        </w:rPr>
        <w:t>practice framework for understanding whether</w:t>
      </w:r>
      <w:r w:rsidR="006F1011">
        <w:rPr>
          <w:lang w:val="en-NZ"/>
        </w:rPr>
        <w:t xml:space="preserve"> </w:t>
      </w:r>
      <w:r w:rsidR="00C270AF">
        <w:rPr>
          <w:lang w:val="en-NZ"/>
        </w:rPr>
        <w:t xml:space="preserve">resistance or </w:t>
      </w:r>
      <w:r w:rsidR="006F1011">
        <w:rPr>
          <w:lang w:val="en-NZ"/>
        </w:rPr>
        <w:t>disengagement</w:t>
      </w:r>
      <w:r w:rsidRPr="00B70FF7">
        <w:rPr>
          <w:lang w:val="en-NZ"/>
        </w:rPr>
        <w:t xml:space="preserve"> </w:t>
      </w:r>
      <w:r w:rsidR="00C54F37">
        <w:rPr>
          <w:lang w:val="en-NZ"/>
        </w:rPr>
        <w:t>are</w:t>
      </w:r>
      <w:r w:rsidR="00C270AF">
        <w:rPr>
          <w:lang w:val="en-NZ"/>
        </w:rPr>
        <w:t xml:space="preserve"> the result of a</w:t>
      </w:r>
      <w:r w:rsidRPr="00B70FF7">
        <w:rPr>
          <w:lang w:val="en-NZ"/>
        </w:rPr>
        <w:t xml:space="preserve"> planning problem</w:t>
      </w:r>
      <w:r w:rsidR="00C270AF">
        <w:rPr>
          <w:lang w:val="en-NZ"/>
        </w:rPr>
        <w:t>, psychological inflexibility</w:t>
      </w:r>
      <w:r w:rsidRPr="00B70FF7">
        <w:rPr>
          <w:lang w:val="en-NZ"/>
        </w:rPr>
        <w:t xml:space="preserve"> or a</w:t>
      </w:r>
      <w:r w:rsidR="002364F7">
        <w:rPr>
          <w:lang w:val="en-NZ"/>
        </w:rPr>
        <w:t xml:space="preserve">n </w:t>
      </w:r>
      <w:r w:rsidRPr="00B70FF7">
        <w:rPr>
          <w:lang w:val="en-NZ"/>
        </w:rPr>
        <w:t xml:space="preserve">adaptive capacity problem. A planning problem exists when the person is broadly ready but needs help with information, sequencing, options, or logistics. An adaptive capacity problem exists when disruption has narrowed the person’s ability to process, accept, decide, or act. The workshop explores how autonomous motivation is shaped not only by the individual, but by whether the wider support system is building the conditions for engagement: real choice, believable pathways, effective support, and enough confidence and adaptability to move forward (Black et al., 2018; Levin &amp; </w:t>
      </w:r>
      <w:proofErr w:type="spellStart"/>
      <w:r w:rsidRPr="00B70FF7">
        <w:rPr>
          <w:lang w:val="en-NZ"/>
        </w:rPr>
        <w:t>Lipshits-Braziler</w:t>
      </w:r>
      <w:proofErr w:type="spellEnd"/>
      <w:r w:rsidRPr="00B70FF7">
        <w:rPr>
          <w:lang w:val="en-NZ"/>
        </w:rPr>
        <w:t>, 2022; de Vries et al., 2013). It also highlights psychological inflexibility as an early warning sign, as rigid avoidance, fused identity, and waiting to feel ready can become major barriers to return-to-work, career, or workplace interventions (Yıldız, 2020).</w:t>
      </w:r>
    </w:p>
    <w:p w14:paraId="2AD62AAE" w14:textId="77777777" w:rsidR="00B70FF7" w:rsidRPr="00B70FF7" w:rsidRDefault="00B70FF7" w:rsidP="00B70FF7">
      <w:pPr>
        <w:rPr>
          <w:lang w:val="en-NZ"/>
        </w:rPr>
      </w:pPr>
      <w:r>
        <w:t xml:space="preserve">The theoretical basis integrates the Transtheoretical Model of Change, Self-Determination Theory, Acceptance and Commitment Therapy, Te Whare Tapa Whā, and Māori-informed relational practice (Britt, 2014; Kiyimba &amp; Anderson, 2022; Reweti et al., 2023). Participants will apply the framework to a vocational rehabilitation case, briefly compare it with a workplace example, and be introduced to practical methods for interpreting disengagement, recognising psychological inflexibility early, </w:t>
      </w:r>
      <w:r>
        <w:lastRenderedPageBreak/>
        <w:t>reducing system tension, and supporting more autonomous motivation. The workshop concludes that before practitioners try to motivate action, they may need to recognise adaptive barriers earlier and help create the conditions that make engagement possible.</w:t>
      </w:r>
    </w:p>
    <w:p w14:paraId="6EB4AC8E" w14:textId="77777777" w:rsidR="00460B85" w:rsidRDefault="00460B85">
      <w:pPr>
        <w:pStyle w:val="Heading1"/>
      </w:pPr>
    </w:p>
    <w:p w14:paraId="4E2C0D01" w14:textId="4547CDF3" w:rsidR="00460B85" w:rsidRDefault="00460B85">
      <w:pPr>
        <w:pStyle w:val="Heading1"/>
      </w:pPr>
      <w:r>
        <w:t>Acknowledgement</w:t>
      </w:r>
    </w:p>
    <w:p w14:paraId="57C5FD69" w14:textId="11BDFF81" w:rsidR="00460B85" w:rsidRPr="00460B85" w:rsidRDefault="00460B85" w:rsidP="00460B85">
      <w:pPr>
        <w:rPr>
          <w:lang w:val="en-NZ"/>
        </w:rPr>
      </w:pPr>
      <w:r w:rsidRPr="00460B85">
        <w:rPr>
          <w:lang w:val="en-NZ"/>
        </w:rPr>
        <w:t>This paper draws on postgraduate study completed through the School of Occupational Therapy, Otago Polytechnic</w:t>
      </w:r>
      <w:r w:rsidR="003D0F92">
        <w:rPr>
          <w:lang w:val="en-NZ"/>
        </w:rPr>
        <w:t xml:space="preserve"> in 2025.</w:t>
      </w:r>
    </w:p>
    <w:p w14:paraId="481813BA" w14:textId="77777777" w:rsidR="00460B85" w:rsidRPr="00460B85" w:rsidRDefault="00460B85" w:rsidP="003D0F92"/>
    <w:p w14:paraId="537F30D7" w14:textId="044B0C85" w:rsidR="005B5BF8" w:rsidRDefault="00000000">
      <w:pPr>
        <w:pStyle w:val="Heading1"/>
      </w:pPr>
      <w:r>
        <w:t>References</w:t>
      </w:r>
    </w:p>
    <w:p w14:paraId="58A1D167" w14:textId="77777777" w:rsidR="00B9613B" w:rsidRDefault="00B9613B">
      <w:pPr>
        <w:rPr>
          <w:rFonts w:eastAsiaTheme="minorEastAsia"/>
        </w:rPr>
      </w:pPr>
      <w:r>
        <w:t xml:space="preserve">Andreassen, T. A. (2021). Returning to work or working on one’s rehabilitation: Social identities invoked by impaired workers and professionals in health care and employment services. </w:t>
      </w:r>
      <w:r>
        <w:rPr>
          <w:i/>
          <w:iCs/>
        </w:rPr>
        <w:t>Sociology of Health &amp; Illness</w:t>
      </w:r>
      <w:r>
        <w:t>.</w:t>
      </w:r>
    </w:p>
    <w:p w14:paraId="52EB35E2" w14:textId="77777777" w:rsidR="00B9613B" w:rsidRDefault="00B9613B">
      <w:r>
        <w:t xml:space="preserve">Black, O., Keegel, T., Sim, M. R., Collie, A., &amp; Smith, P. (2018). The effect of self-efficacy on return-to-work outcomes. </w:t>
      </w:r>
      <w:r>
        <w:rPr>
          <w:i/>
          <w:iCs/>
        </w:rPr>
        <w:t>Journal of Occupational Rehabilitation, 28</w:t>
      </w:r>
      <w:r>
        <w:t>(1), 16–27. https://doi.org/10.1007/s10926-017-9697-y</w:t>
      </w:r>
    </w:p>
    <w:p w14:paraId="247EF44C" w14:textId="77777777" w:rsidR="00B9613B" w:rsidRDefault="00B9613B">
      <w:r>
        <w:t xml:space="preserve">Britt, E. G. (2014). </w:t>
      </w:r>
      <w:proofErr w:type="spellStart"/>
      <w:r>
        <w:rPr>
          <w:i/>
          <w:iCs/>
        </w:rPr>
        <w:t>Takitaki</w:t>
      </w:r>
      <w:proofErr w:type="spellEnd"/>
      <w:r>
        <w:rPr>
          <w:i/>
          <w:iCs/>
        </w:rPr>
        <w:t xml:space="preserve"> </w:t>
      </w:r>
      <w:proofErr w:type="spellStart"/>
      <w:r>
        <w:rPr>
          <w:i/>
          <w:iCs/>
        </w:rPr>
        <w:t>mai</w:t>
      </w:r>
      <w:proofErr w:type="spellEnd"/>
      <w:r>
        <w:rPr>
          <w:i/>
          <w:iCs/>
        </w:rPr>
        <w:t>: A guide to motivational interviewing for Māori</w:t>
      </w:r>
      <w:r>
        <w:t>. Matua Raki.</w:t>
      </w:r>
    </w:p>
    <w:p w14:paraId="356ECF3E" w14:textId="77777777" w:rsidR="00B9613B" w:rsidRDefault="00B9613B">
      <w:r>
        <w:t>Kiyimba, N., &amp; Anderson, R. (2022). Reflecting on cultural meanings of spirituality/</w:t>
      </w:r>
      <w:proofErr w:type="spellStart"/>
      <w:r>
        <w:t>wairuatanga</w:t>
      </w:r>
      <w:proofErr w:type="spellEnd"/>
      <w:r>
        <w:t xml:space="preserve"> in post-traumatic growth using the Māori wellbeing model of </w:t>
      </w:r>
      <w:proofErr w:type="spellStart"/>
      <w:r>
        <w:t>Te</w:t>
      </w:r>
      <w:proofErr w:type="spellEnd"/>
      <w:r>
        <w:t xml:space="preserve"> Whare Tapa </w:t>
      </w:r>
      <w:proofErr w:type="spellStart"/>
      <w:r>
        <w:t>Whā</w:t>
      </w:r>
      <w:proofErr w:type="spellEnd"/>
      <w:r>
        <w:t xml:space="preserve">. </w:t>
      </w:r>
      <w:r>
        <w:rPr>
          <w:i/>
          <w:iCs/>
        </w:rPr>
        <w:t>Mental Health, Religion &amp; Culture, 25</w:t>
      </w:r>
      <w:r>
        <w:t>(3), 345–361. https://doi.org/10.1080/13674676.2022.2028750</w:t>
      </w:r>
    </w:p>
    <w:p w14:paraId="771149DF" w14:textId="77777777" w:rsidR="00B9613B" w:rsidRDefault="00B9613B">
      <w:r>
        <w:t>Krebs, P., Norcross, J. C., Nicholson, J. M., &amp; Prochaska, J. O. (2019). Stages of change and psychotherapy outcomes: A review and meta-analysis.</w:t>
      </w:r>
    </w:p>
    <w:p w14:paraId="6D4BF3BC" w14:textId="77777777" w:rsidR="00B9613B" w:rsidRDefault="00B9613B">
      <w:r>
        <w:t xml:space="preserve">Lev Arey, D., et al. (2022). A Self-Determination Theory and Acceptance and Commitment Therapy-based intervention aimed at increasing adherence to physical activity. </w:t>
      </w:r>
      <w:r>
        <w:rPr>
          <w:i/>
          <w:iCs/>
        </w:rPr>
        <w:t>Frontiers in Psychology</w:t>
      </w:r>
      <w:r>
        <w:t>.</w:t>
      </w:r>
    </w:p>
    <w:p w14:paraId="15D259BA" w14:textId="77777777" w:rsidR="00B9613B" w:rsidRDefault="00B9613B">
      <w:r>
        <w:t xml:space="preserve">Levin, N., &amp; </w:t>
      </w:r>
      <w:proofErr w:type="spellStart"/>
      <w:r>
        <w:t>Lipshits-Braziler</w:t>
      </w:r>
      <w:proofErr w:type="spellEnd"/>
      <w:r>
        <w:t xml:space="preserve">, Y. (2022). Facets of adaptability in career decision making. </w:t>
      </w:r>
      <w:r>
        <w:rPr>
          <w:i/>
          <w:iCs/>
        </w:rPr>
        <w:t>International Journal for Educational and Vocational Guidance, 22</w:t>
      </w:r>
      <w:r>
        <w:t>, 535–556. https://doi.org/10.1007/s10775-021-09489-w</w:t>
      </w:r>
    </w:p>
    <w:p w14:paraId="41C8F3BC" w14:textId="77777777" w:rsidR="00B9613B" w:rsidRDefault="00B9613B">
      <w:r>
        <w:t xml:space="preserve">McLachlan, A., et al. (2021). Cultural identity and engagement with psychological services. </w:t>
      </w:r>
      <w:r>
        <w:rPr>
          <w:i/>
          <w:iCs/>
        </w:rPr>
        <w:t>Journal of Indigenous Wellbeing</w:t>
      </w:r>
      <w:r>
        <w:t>.</w:t>
      </w:r>
    </w:p>
    <w:p w14:paraId="553B51DB" w14:textId="77777777" w:rsidR="00B9613B" w:rsidRDefault="00B9613B">
      <w:r>
        <w:t xml:space="preserve">Prescod, D. J., &amp; Zeligman, M. (2018). Career adaptability of trauma survivors: The moderating role of posttraumatic growth. </w:t>
      </w:r>
      <w:r>
        <w:rPr>
          <w:i/>
          <w:iCs/>
        </w:rPr>
        <w:t>The Career Development Quarterly, 66</w:t>
      </w:r>
      <w:r>
        <w:t>(2), 107–120. https://doi.org/10.1002/cdq.12126</w:t>
      </w:r>
    </w:p>
    <w:p w14:paraId="5FC0213D" w14:textId="77777777" w:rsidR="00B9613B" w:rsidRDefault="00B9613B">
      <w:r>
        <w:lastRenderedPageBreak/>
        <w:t xml:space="preserve">Prochaska, J. O., &amp; </w:t>
      </w:r>
      <w:proofErr w:type="spellStart"/>
      <w:r>
        <w:t>Velicer</w:t>
      </w:r>
      <w:proofErr w:type="spellEnd"/>
      <w:r>
        <w:t xml:space="preserve">, W. F. (1997). The transtheoretical model of health behavior </w:t>
      </w:r>
      <w:proofErr w:type="gramStart"/>
      <w:r>
        <w:t>change</w:t>
      </w:r>
      <w:proofErr w:type="gramEnd"/>
      <w:r>
        <w:t xml:space="preserve">. </w:t>
      </w:r>
      <w:r>
        <w:rPr>
          <w:i/>
          <w:iCs/>
        </w:rPr>
        <w:t>American Journal of Health Promotion, 12</w:t>
      </w:r>
      <w:r>
        <w:t>(1), 38–48.</w:t>
      </w:r>
    </w:p>
    <w:p w14:paraId="68C80377" w14:textId="77777777" w:rsidR="00B9613B" w:rsidRDefault="00B9613B">
      <w:proofErr w:type="spellStart"/>
      <w:r>
        <w:t>Reweti</w:t>
      </w:r>
      <w:proofErr w:type="spellEnd"/>
      <w:r>
        <w:t xml:space="preserve">, A., et al. (2023). A </w:t>
      </w:r>
      <w:proofErr w:type="spellStart"/>
      <w:r>
        <w:t>tangata</w:t>
      </w:r>
      <w:proofErr w:type="spellEnd"/>
      <w:r>
        <w:t xml:space="preserve"> whenua approach to </w:t>
      </w:r>
      <w:proofErr w:type="spellStart"/>
      <w:r>
        <w:t>conceptualising</w:t>
      </w:r>
      <w:proofErr w:type="spellEnd"/>
      <w:r>
        <w:t xml:space="preserve"> Māori health and wellbeing. </w:t>
      </w:r>
      <w:r>
        <w:rPr>
          <w:i/>
          <w:iCs/>
        </w:rPr>
        <w:t>Global Health Promotion</w:t>
      </w:r>
      <w:r>
        <w:t>.</w:t>
      </w:r>
    </w:p>
    <w:p w14:paraId="5C39D20E" w14:textId="77777777" w:rsidR="00B9613B" w:rsidRDefault="00B9613B">
      <w:r>
        <w:t xml:space="preserve">Suszek, H., et al. (2025). The multiple self and psychological openness. </w:t>
      </w:r>
      <w:r>
        <w:rPr>
          <w:i/>
          <w:iCs/>
        </w:rPr>
        <w:t>Frontiers in Psychology</w:t>
      </w:r>
      <w:r>
        <w:t>.</w:t>
      </w:r>
    </w:p>
    <w:p w14:paraId="313C5D85" w14:textId="77777777" w:rsidR="00B9613B" w:rsidRDefault="00B9613B">
      <w:r>
        <w:t xml:space="preserve">de Vries, H. J., Reneman, M. F., Groothoff, J. W., </w:t>
      </w:r>
      <w:proofErr w:type="spellStart"/>
      <w:r>
        <w:t>Geertzen</w:t>
      </w:r>
      <w:proofErr w:type="spellEnd"/>
      <w:r>
        <w:t xml:space="preserve">, J. H. B., &amp; Brouwer, S. (2013). Self-reported work ability and work performance in workers with chronic nonspecific musculoskeletal pain. </w:t>
      </w:r>
      <w:r>
        <w:rPr>
          <w:i/>
          <w:iCs/>
        </w:rPr>
        <w:t>Journal of Occupational Rehabilitation, 23</w:t>
      </w:r>
      <w:r>
        <w:t>, 1–10. https://doi.org/10.1007/s10926-012-9373-1</w:t>
      </w:r>
    </w:p>
    <w:p w14:paraId="73DC8983" w14:textId="77777777" w:rsidR="00B9613B" w:rsidRDefault="00B9613B">
      <w:r>
        <w:t xml:space="preserve">Yıldız, E. (2020). The effects of acceptance and commitment therapy on lifestyle and behavioral changes: A systematic review of randomized controlled trials. </w:t>
      </w:r>
      <w:r>
        <w:rPr>
          <w:i/>
          <w:iCs/>
        </w:rPr>
        <w:t>Perspectives in Psychiatric Care, 56</w:t>
      </w:r>
      <w:r>
        <w:t>(3), 657–690.</w:t>
      </w:r>
    </w:p>
    <w:p w14:paraId="6E944A64" w14:textId="77777777" w:rsidR="00B9613B" w:rsidRDefault="00B9613B">
      <w:r>
        <w:t xml:space="preserve">Zegers, A., et al. (2023). Tailoring work participation support for cancer survivors using the stages of change: Perspectives of professionals and survivors. </w:t>
      </w:r>
      <w:r>
        <w:rPr>
          <w:i/>
          <w:iCs/>
        </w:rPr>
        <w:t>Journal of Cancer Survivorship</w:t>
      </w:r>
      <w:r>
        <w:t>.</w:t>
      </w:r>
    </w:p>
    <w:p w14:paraId="60088C87" w14:textId="59C2C8CF" w:rsidR="005B5BF8" w:rsidRPr="00B9613B" w:rsidRDefault="005B5BF8" w:rsidP="00B9613B"/>
    <w:sectPr w:rsidR="005B5BF8" w:rsidRPr="00B9613B" w:rsidSect="00034616">
      <w:pgSz w:w="11906" w:h="16838"/>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48217323">
    <w:abstractNumId w:val="8"/>
  </w:num>
  <w:num w:numId="2" w16cid:durableId="1532381779">
    <w:abstractNumId w:val="6"/>
  </w:num>
  <w:num w:numId="3" w16cid:durableId="1870023983">
    <w:abstractNumId w:val="5"/>
  </w:num>
  <w:num w:numId="4" w16cid:durableId="1570000898">
    <w:abstractNumId w:val="4"/>
  </w:num>
  <w:num w:numId="5" w16cid:durableId="8679833">
    <w:abstractNumId w:val="7"/>
  </w:num>
  <w:num w:numId="6" w16cid:durableId="1164081996">
    <w:abstractNumId w:val="3"/>
  </w:num>
  <w:num w:numId="7" w16cid:durableId="2084253696">
    <w:abstractNumId w:val="2"/>
  </w:num>
  <w:num w:numId="8" w16cid:durableId="973372368">
    <w:abstractNumId w:val="1"/>
  </w:num>
  <w:num w:numId="9" w16cid:durableId="293100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0BBD"/>
    <w:rsid w:val="00034616"/>
    <w:rsid w:val="0006063C"/>
    <w:rsid w:val="0015074B"/>
    <w:rsid w:val="001D1CFC"/>
    <w:rsid w:val="00206270"/>
    <w:rsid w:val="00234061"/>
    <w:rsid w:val="002364F7"/>
    <w:rsid w:val="0029639D"/>
    <w:rsid w:val="002A48F3"/>
    <w:rsid w:val="002A4BD0"/>
    <w:rsid w:val="002B47CD"/>
    <w:rsid w:val="00326F90"/>
    <w:rsid w:val="003B639F"/>
    <w:rsid w:val="003D0F92"/>
    <w:rsid w:val="003E6ABF"/>
    <w:rsid w:val="004543AB"/>
    <w:rsid w:val="00460B85"/>
    <w:rsid w:val="0050164D"/>
    <w:rsid w:val="005A5C67"/>
    <w:rsid w:val="005B5BF8"/>
    <w:rsid w:val="006E7AC4"/>
    <w:rsid w:val="006F1011"/>
    <w:rsid w:val="00740D07"/>
    <w:rsid w:val="00843C60"/>
    <w:rsid w:val="00883584"/>
    <w:rsid w:val="008A6EAA"/>
    <w:rsid w:val="00931934"/>
    <w:rsid w:val="009D4510"/>
    <w:rsid w:val="00AA1D8D"/>
    <w:rsid w:val="00B47730"/>
    <w:rsid w:val="00B52F3E"/>
    <w:rsid w:val="00B70FF7"/>
    <w:rsid w:val="00B9613B"/>
    <w:rsid w:val="00C270AF"/>
    <w:rsid w:val="00C409D4"/>
    <w:rsid w:val="00C54F37"/>
    <w:rsid w:val="00C579E0"/>
    <w:rsid w:val="00C70F39"/>
    <w:rsid w:val="00C871EB"/>
    <w:rsid w:val="00CA4137"/>
    <w:rsid w:val="00CA79D3"/>
    <w:rsid w:val="00CB0664"/>
    <w:rsid w:val="00D00E69"/>
    <w:rsid w:val="00DD3339"/>
    <w:rsid w:val="00E406BA"/>
    <w:rsid w:val="00E42661"/>
    <w:rsid w:val="00F073A2"/>
    <w:rsid w:val="00F4163C"/>
    <w:rsid w:val="00F60A87"/>
    <w:rsid w:val="00FC693F"/>
    <w:rsid w:val="00FE43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66CEA663-FDBA-4A96-994E-729D9EEEA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60" w:lineRule="auto"/>
      <w:jc w:val="both"/>
    </w:pPr>
    <w:rPr>
      <w:rFonts w:ascii="Calibri" w:eastAsia="Calibri" w:hAnsi="Calibri"/>
    </w:rPr>
  </w:style>
  <w:style w:type="paragraph" w:styleId="Heading1">
    <w:name w:val="heading 1"/>
    <w:basedOn w:val="Normal"/>
    <w:next w:val="Normal"/>
    <w:link w:val="Heading1Char"/>
    <w:uiPriority w:val="9"/>
    <w:qFormat/>
    <w:rsid w:val="00FC693F"/>
    <w:pPr>
      <w:keepNext/>
      <w:keepLines/>
      <w:spacing w:before="160" w:after="4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contextualSpacing/>
      <w:jc w:val="center"/>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2A48F3"/>
    <w:pPr>
      <w:spacing w:after="0" w:line="240" w:lineRule="auto"/>
    </w:pPr>
    <w:rPr>
      <w:rFonts w:ascii="Calibri" w:eastAsia="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Pages>
  <Words>1008</Words>
  <Characters>6583</Characters>
  <Application>Microsoft Office Word</Application>
  <DocSecurity>0</DocSecurity>
  <Lines>99</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Chloe Boreham</cp:lastModifiedBy>
  <cp:revision>40</cp:revision>
  <dcterms:created xsi:type="dcterms:W3CDTF">2013-12-23T23:15:00Z</dcterms:created>
  <dcterms:modified xsi:type="dcterms:W3CDTF">2026-04-16T09:08:00Z</dcterms:modified>
  <cp:category/>
</cp:coreProperties>
</file>