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7ECB8" w14:textId="77777777" w:rsidR="00B422FF" w:rsidRDefault="00000000">
      <w:pPr>
        <w:spacing w:after="120" w:line="360" w:lineRule="auto"/>
        <w:jc w:val="center"/>
      </w:pPr>
      <w:r>
        <w:rPr>
          <w:rFonts w:eastAsia="Calibri"/>
          <w:b/>
          <w:bCs/>
        </w:rPr>
        <w:t>Resilience and Self-Consciousness in Japanese University Students' Job Hunting: Who Reaches Career Goal Clarification?</w:t>
      </w:r>
    </w:p>
    <w:p w14:paraId="2F61150E" w14:textId="77777777" w:rsidR="00B422FF" w:rsidRDefault="00000000">
      <w:pPr>
        <w:spacing w:after="160" w:line="360" w:lineRule="auto"/>
        <w:jc w:val="both"/>
      </w:pPr>
      <w:r>
        <w:rPr>
          <w:rFonts w:eastAsia="Calibri"/>
          <w:b/>
          <w:bCs/>
        </w:rPr>
        <w:t xml:space="preserve">Conference theme: </w:t>
      </w:r>
      <w:r>
        <w:rPr>
          <w:rFonts w:eastAsia="Calibri"/>
        </w:rPr>
        <w:t xml:space="preserve">Well-being – </w:t>
      </w:r>
      <w:proofErr w:type="spellStart"/>
      <w:r>
        <w:rPr>
          <w:rFonts w:eastAsia="Calibri"/>
        </w:rPr>
        <w:t>Matariki</w:t>
      </w:r>
      <w:proofErr w:type="spellEnd"/>
      <w:r>
        <w:rPr>
          <w:rFonts w:eastAsia="Calibri"/>
        </w:rPr>
        <w:t xml:space="preserve"> (Mental Health and Resilience)</w:t>
      </w:r>
    </w:p>
    <w:p w14:paraId="3A717521" w14:textId="77777777" w:rsidR="00B422FF" w:rsidRDefault="00000000">
      <w:pPr>
        <w:spacing w:after="160" w:line="360" w:lineRule="auto"/>
        <w:jc w:val="both"/>
      </w:pPr>
      <w:r>
        <w:rPr>
          <w:rFonts w:eastAsia="Calibri"/>
          <w:b/>
          <w:bCs/>
        </w:rPr>
        <w:t xml:space="preserve">Presentation language: </w:t>
      </w:r>
      <w:r>
        <w:rPr>
          <w:rFonts w:eastAsia="Calibri"/>
        </w:rPr>
        <w:t>English</w:t>
      </w:r>
    </w:p>
    <w:p w14:paraId="2DA751ED" w14:textId="77777777" w:rsidR="00B422FF" w:rsidRDefault="00B422FF">
      <w:pPr>
        <w:spacing w:after="80"/>
      </w:pPr>
    </w:p>
    <w:p w14:paraId="61FE21CE" w14:textId="5DDEDA7B" w:rsidR="00754633" w:rsidRPr="00F31E2E" w:rsidRDefault="00000000" w:rsidP="00F31E2E">
      <w:pPr>
        <w:spacing w:after="160" w:line="360" w:lineRule="auto"/>
        <w:jc w:val="both"/>
        <w:rPr>
          <w:rFonts w:hint="eastAsia"/>
        </w:rPr>
      </w:pPr>
      <w:r>
        <w:rPr>
          <w:rFonts w:eastAsia="Calibri"/>
          <w:b/>
          <w:bCs/>
        </w:rPr>
        <w:t xml:space="preserve">Keywords: </w:t>
      </w:r>
      <w:r>
        <w:rPr>
          <w:rFonts w:eastAsia="Calibri"/>
          <w:i/>
          <w:iCs/>
        </w:rPr>
        <w:t>job-hunting maintenance process; career resilience; self-consciousness; career goal clarification; school-to-work transition</w:t>
      </w:r>
    </w:p>
    <w:p w14:paraId="51002622" w14:textId="77777777" w:rsidR="00754633" w:rsidRDefault="00754633">
      <w:pPr>
        <w:spacing w:after="80"/>
      </w:pPr>
    </w:p>
    <w:p w14:paraId="1178A988" w14:textId="77777777" w:rsidR="00B422FF" w:rsidRDefault="00000000">
      <w:pPr>
        <w:spacing w:before="160" w:after="80" w:line="360" w:lineRule="auto"/>
        <w:jc w:val="both"/>
      </w:pPr>
      <w:r>
        <w:rPr>
          <w:rFonts w:eastAsia="Calibri"/>
          <w:b/>
          <w:bCs/>
        </w:rPr>
        <w:t>Introduction</w:t>
      </w:r>
    </w:p>
    <w:p w14:paraId="5D0C88DE" w14:textId="77777777" w:rsidR="00B422FF" w:rsidRDefault="00000000">
      <w:pPr>
        <w:spacing w:after="160" w:line="360" w:lineRule="auto"/>
        <w:jc w:val="both"/>
        <w:rPr>
          <w:rFonts w:eastAsia="Calibri"/>
        </w:rPr>
      </w:pPr>
      <w:r>
        <w:rPr>
          <w:rFonts w:eastAsia="Calibri"/>
        </w:rPr>
        <w:t>In Japan's mass new-graduate recruitment system (</w:t>
      </w:r>
      <w:proofErr w:type="spellStart"/>
      <w:r>
        <w:rPr>
          <w:rFonts w:eastAsia="Calibri"/>
        </w:rPr>
        <w:t>shukatsu</w:t>
      </w:r>
      <w:proofErr w:type="spellEnd"/>
      <w:r>
        <w:rPr>
          <w:rFonts w:eastAsia="Calibri"/>
        </w:rPr>
        <w:t>), final-year university students must simultaneously apply to multiple companies and secure job offers within a fixed nationwide schedule. This structure renders rejection not exceptional but statistically inevitable: students apply to an average of 25.4 companies while receiving only 2.5 job offers (DISCO Inc., 2023). A central question for career guidance is therefore what enables certain students—facing the same adversity—to develop a clearer, more realistic sense of career direction through this process.</w:t>
      </w:r>
    </w:p>
    <w:p w14:paraId="4948D15E" w14:textId="77777777" w:rsidR="00F31E2E" w:rsidRDefault="00F31E2E">
      <w:pPr>
        <w:spacing w:after="160" w:line="360" w:lineRule="auto"/>
        <w:jc w:val="both"/>
        <w:rPr>
          <w:rFonts w:hint="eastAsia"/>
        </w:rPr>
      </w:pPr>
    </w:p>
    <w:p w14:paraId="44EB8AE9" w14:textId="2ABC6D38" w:rsidR="00B422FF" w:rsidRDefault="00000000">
      <w:pPr>
        <w:spacing w:before="160" w:after="80" w:line="360" w:lineRule="auto"/>
        <w:jc w:val="both"/>
      </w:pPr>
      <w:r>
        <w:rPr>
          <w:rFonts w:eastAsia="Calibri"/>
          <w:b/>
          <w:bCs/>
        </w:rPr>
        <w:t>Theoretical Basis</w:t>
      </w:r>
    </w:p>
    <w:p w14:paraId="0788D592" w14:textId="3462AC32" w:rsidR="00B422FF" w:rsidRDefault="00000000" w:rsidP="008A0B7B">
      <w:pPr>
        <w:spacing w:after="160" w:line="360" w:lineRule="auto"/>
        <w:jc w:val="both"/>
        <w:rPr>
          <w:noProof/>
        </w:rPr>
      </w:pPr>
      <w:r>
        <w:rPr>
          <w:rFonts w:eastAsia="Calibri"/>
        </w:rPr>
        <w:t>This study draws on the Job-Hunting Maintenance Process (JHMP) framework (</w:t>
      </w:r>
      <w:proofErr w:type="spellStart"/>
      <w:r>
        <w:rPr>
          <w:rFonts w:eastAsia="Calibri"/>
        </w:rPr>
        <w:t>Karube</w:t>
      </w:r>
      <w:proofErr w:type="spellEnd"/>
      <w:r>
        <w:rPr>
          <w:rFonts w:eastAsia="Calibri"/>
        </w:rPr>
        <w:t xml:space="preserve"> et al., 2014, 2015), which encompasses two qualitatively distinct phases. The primary process consists of present-oriented, rejection-coping behaviors operative from the outset of job hunting. The secondary process represents a future-oriented, metacognitive phase that emerges progressively as experience accumulates. This study provides the first quantitative external validation of JHMP theory, examining whether resilience factors and self-consciousness traits predict career goal clarification—the pivotal entry point of the secondary process—beyond primary process behaviors (Figure 1).</w:t>
      </w:r>
      <w:r w:rsidR="008A0B7B" w:rsidRPr="008A0B7B">
        <w:rPr>
          <w:noProof/>
        </w:rPr>
        <w:t xml:space="preserve"> </w:t>
      </w:r>
    </w:p>
    <w:p w14:paraId="0112C170" w14:textId="77777777" w:rsidR="006A5F2A" w:rsidRDefault="006A5F2A" w:rsidP="008A0B7B">
      <w:pPr>
        <w:spacing w:after="160" w:line="360" w:lineRule="auto"/>
        <w:jc w:val="both"/>
        <w:rPr>
          <w:noProof/>
        </w:rPr>
      </w:pPr>
    </w:p>
    <w:p w14:paraId="061F7E26" w14:textId="77777777" w:rsidR="006A5F2A" w:rsidRDefault="006A5F2A" w:rsidP="008A0B7B">
      <w:pPr>
        <w:spacing w:after="160" w:line="360" w:lineRule="auto"/>
        <w:jc w:val="both"/>
        <w:rPr>
          <w:noProof/>
        </w:rPr>
      </w:pPr>
    </w:p>
    <w:p w14:paraId="3BA9C4A8" w14:textId="77777777" w:rsidR="006A5F2A" w:rsidRDefault="006A5F2A" w:rsidP="008A0B7B">
      <w:pPr>
        <w:spacing w:after="160" w:line="360" w:lineRule="auto"/>
        <w:jc w:val="both"/>
        <w:rPr>
          <w:noProof/>
        </w:rPr>
      </w:pPr>
    </w:p>
    <w:p w14:paraId="07C19010" w14:textId="77777777" w:rsidR="006A5F2A" w:rsidRDefault="006A5F2A" w:rsidP="008A0B7B">
      <w:pPr>
        <w:spacing w:after="160" w:line="360" w:lineRule="auto"/>
        <w:jc w:val="both"/>
        <w:rPr>
          <w:noProof/>
        </w:rPr>
      </w:pPr>
    </w:p>
    <w:p w14:paraId="1DE432EA" w14:textId="77777777" w:rsidR="006A5F2A" w:rsidRDefault="006A5F2A" w:rsidP="008A0B7B">
      <w:pPr>
        <w:spacing w:after="160" w:line="360" w:lineRule="auto"/>
        <w:jc w:val="both"/>
        <w:rPr>
          <w:noProof/>
        </w:rPr>
      </w:pPr>
    </w:p>
    <w:p w14:paraId="2CAA01B5" w14:textId="77777777" w:rsidR="00F31E2E" w:rsidRDefault="00F31E2E" w:rsidP="008A0B7B">
      <w:pPr>
        <w:spacing w:after="160" w:line="360" w:lineRule="auto"/>
        <w:jc w:val="both"/>
        <w:rPr>
          <w:rFonts w:hint="eastAsia"/>
          <w:noProof/>
        </w:rPr>
      </w:pPr>
    </w:p>
    <w:p w14:paraId="79F9EBCF" w14:textId="1347508B" w:rsidR="00754633" w:rsidRDefault="00754633" w:rsidP="008A0B7B">
      <w:pPr>
        <w:spacing w:after="160" w:line="360" w:lineRule="auto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C181E7" wp14:editId="32947E57">
                <wp:simplePos x="0" y="0"/>
                <wp:positionH relativeFrom="column">
                  <wp:posOffset>-45990</wp:posOffset>
                </wp:positionH>
                <wp:positionV relativeFrom="paragraph">
                  <wp:posOffset>-1614</wp:posOffset>
                </wp:positionV>
                <wp:extent cx="5770766" cy="607102"/>
                <wp:effectExtent l="0" t="0" r="0" b="2540"/>
                <wp:wrapNone/>
                <wp:docPr id="14910468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0766" cy="6071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860C97" w14:textId="7A3289AC" w:rsidR="00754633" w:rsidRPr="00754633" w:rsidRDefault="00754633" w:rsidP="007546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54633">
                              <w:rPr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  <w:p w14:paraId="089DCCA8" w14:textId="4E639C6C" w:rsidR="00754633" w:rsidRPr="00754633" w:rsidRDefault="00754633" w:rsidP="007546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5463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The Job-Hunting Maintenance Process model (</w:t>
                            </w:r>
                            <w:proofErr w:type="spellStart"/>
                            <w:r w:rsidRPr="0075463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Karube</w:t>
                            </w:r>
                            <w:proofErr w:type="spellEnd"/>
                            <w:r w:rsidRPr="00754633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et al., 2014). The dashed box represents the primary process; outside the box represents the secondary process.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C181E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3.6pt;margin-top:-.15pt;width:454.4pt;height:4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" fillcolor="white [3201]" stroked="f" strokeweight=".5pt">
                <v:textbox>
                  <w:txbxContent>
                    <w:p w14:paraId="43860C97" w14:textId="7A3289AC" w:rsidR="00754633" w:rsidRPr="00754633" w:rsidRDefault="00754633" w:rsidP="00754633">
                      <w:pPr>
                        <w:rPr>
                          <w:sz w:val="20"/>
                          <w:szCs w:val="20"/>
                        </w:rPr>
                      </w:pPr>
                      <w:r w:rsidRPr="00754633">
                        <w:rPr>
                          <w:sz w:val="20"/>
                          <w:szCs w:val="20"/>
                        </w:rPr>
                        <w:t xml:space="preserve">Figure 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  <w:p w14:paraId="089DCCA8" w14:textId="4E639C6C" w:rsidR="00754633" w:rsidRPr="00754633" w:rsidRDefault="00754633" w:rsidP="00754633">
                      <w:pPr>
                        <w:rPr>
                          <w:sz w:val="20"/>
                          <w:szCs w:val="20"/>
                        </w:rPr>
                      </w:pPr>
                      <w:r w:rsidRPr="00754633">
                        <w:rPr>
                          <w:i/>
                          <w:iCs/>
                          <w:sz w:val="20"/>
                          <w:szCs w:val="20"/>
                        </w:rPr>
                        <w:t>The Job-Hunting Maintenance Process model (</w:t>
                      </w:r>
                      <w:proofErr w:type="spellStart"/>
                      <w:r w:rsidRPr="00754633">
                        <w:rPr>
                          <w:i/>
                          <w:iCs/>
                          <w:sz w:val="20"/>
                          <w:szCs w:val="20"/>
                        </w:rPr>
                        <w:t>Karube</w:t>
                      </w:r>
                      <w:proofErr w:type="spellEnd"/>
                      <w:r w:rsidRPr="00754633">
                        <w:rPr>
                          <w:i/>
                          <w:iCs/>
                          <w:sz w:val="20"/>
                          <w:szCs w:val="20"/>
                        </w:rPr>
                        <w:t xml:space="preserve"> et al., 2014). The dashed box represents the primary process; outside the box represents the secondary process.</w:t>
                      </w:r>
                    </w:p>
                  </w:txbxContent>
                </v:textbox>
              </v:shape>
            </w:pict>
          </mc:Fallback>
        </mc:AlternateContent>
      </w:r>
    </w:p>
    <w:p w14:paraId="1CD203A5" w14:textId="7D7C6A1B" w:rsidR="00B422FF" w:rsidRDefault="00B422FF">
      <w:pPr>
        <w:spacing w:after="80"/>
      </w:pPr>
    </w:p>
    <w:p w14:paraId="12AC62B9" w14:textId="7482DD69" w:rsidR="00754633" w:rsidRDefault="00754633">
      <w:pPr>
        <w:spacing w:before="160" w:after="80" w:line="360" w:lineRule="auto"/>
        <w:jc w:val="both"/>
        <w:rPr>
          <w:rFonts w:eastAsia="Calibri"/>
          <w:b/>
          <w:bCs/>
        </w:rPr>
      </w:pPr>
      <w:r w:rsidRPr="00754633">
        <w:rPr>
          <w:rFonts w:eastAsia="Calibri"/>
          <w:b/>
          <w:bCs/>
          <w:noProof/>
        </w:rPr>
        <w:drawing>
          <wp:inline distT="0" distB="0" distL="0" distR="0" wp14:anchorId="5B74F576" wp14:editId="46119379">
            <wp:extent cx="5759450" cy="4170045"/>
            <wp:effectExtent l="0" t="0" r="6350" b="0"/>
            <wp:docPr id="52044648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44648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17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56D26" w14:textId="77777777" w:rsidR="00754633" w:rsidRDefault="00754633">
      <w:pPr>
        <w:spacing w:before="160" w:after="80" w:line="360" w:lineRule="auto"/>
        <w:jc w:val="both"/>
        <w:rPr>
          <w:rFonts w:eastAsia="Calibri"/>
          <w:b/>
          <w:bCs/>
        </w:rPr>
      </w:pPr>
    </w:p>
    <w:p w14:paraId="3FE28312" w14:textId="7A54203B" w:rsidR="00B422FF" w:rsidRDefault="00000000">
      <w:pPr>
        <w:spacing w:before="160" w:after="80" w:line="360" w:lineRule="auto"/>
        <w:jc w:val="both"/>
      </w:pPr>
      <w:r>
        <w:rPr>
          <w:rFonts w:eastAsia="Calibri"/>
          <w:b/>
          <w:bCs/>
        </w:rPr>
        <w:t>Objectives</w:t>
      </w:r>
    </w:p>
    <w:p w14:paraId="6FCB10DE" w14:textId="50A616DB" w:rsidR="00B422FF" w:rsidRDefault="00000000">
      <w:pPr>
        <w:spacing w:after="160" w:line="360" w:lineRule="auto"/>
        <w:jc w:val="both"/>
        <w:rPr>
          <w:rFonts w:eastAsia="Calibri"/>
        </w:rPr>
      </w:pPr>
      <w:r>
        <w:rPr>
          <w:rFonts w:eastAsia="Calibri"/>
        </w:rPr>
        <w:t>Two classes of self-related traits were examined. Resilience factors were operationalized using the Bidimensional Resilience Factor Scale (Hirano, 2010), distinguishing innate factors (control, optimism, sociability, vitality) from acquired factors (attempting to solve a problem, self-understanding, understanding others). Self-consciousness traits were assessed using the Japanese Self-Consciousness Scale (Sugawara, 1984), measuring private self-consciousness (attention to inner states) and public self-consciousness (attention to external evaluation). Four hypotheses were tested: resilience factors positively predict goal clarification beyond primary process behaviors (H1); private self-consciousness is positively associated (H2); public self-consciousness is negatively associated (H3); and the facilitative effect of private self-consciousness is attenuated at higher levels of public self-consciousness (H4, exploratory).</w:t>
      </w:r>
    </w:p>
    <w:p w14:paraId="071CD4B5" w14:textId="77777777" w:rsidR="008A0B7B" w:rsidRDefault="008A0B7B">
      <w:pPr>
        <w:spacing w:after="160" w:line="360" w:lineRule="auto"/>
        <w:jc w:val="both"/>
      </w:pPr>
    </w:p>
    <w:p w14:paraId="5C5311DA" w14:textId="7EAEC6AD" w:rsidR="00B422FF" w:rsidRDefault="00000000">
      <w:pPr>
        <w:spacing w:before="160" w:after="80" w:line="360" w:lineRule="auto"/>
        <w:jc w:val="both"/>
      </w:pPr>
      <w:r>
        <w:rPr>
          <w:rFonts w:eastAsia="Calibri"/>
          <w:b/>
          <w:bCs/>
        </w:rPr>
        <w:t>Methodology</w:t>
      </w:r>
    </w:p>
    <w:p w14:paraId="79E0C61D" w14:textId="099EA845" w:rsidR="00B422FF" w:rsidRDefault="00000000">
      <w:pPr>
        <w:spacing w:after="160" w:line="360" w:lineRule="auto"/>
        <w:jc w:val="both"/>
        <w:rPr>
          <w:rFonts w:eastAsia="Calibri"/>
        </w:rPr>
      </w:pPr>
      <w:r>
        <w:rPr>
          <w:rFonts w:eastAsia="Calibri"/>
        </w:rPr>
        <w:lastRenderedPageBreak/>
        <w:t xml:space="preserve">Participants were 215 Japanese university and graduate students (106 men, 109 women; M age = 23.04 years) who completed </w:t>
      </w:r>
      <w:proofErr w:type="spellStart"/>
      <w:r>
        <w:rPr>
          <w:rFonts w:eastAsia="Calibri"/>
        </w:rPr>
        <w:t>shukatsu</w:t>
      </w:r>
      <w:proofErr w:type="spellEnd"/>
      <w:r>
        <w:rPr>
          <w:rFonts w:eastAsia="Calibri"/>
        </w:rPr>
        <w:t xml:space="preserve"> with multiple rejections in 2019. Hierarchical multiple regression with forced entry examined trait prediction of goal clarification, controlling for primary process subscales in Step 1. Moderation analysis with Johnson-Neyman probing tested H4.</w:t>
      </w:r>
    </w:p>
    <w:p w14:paraId="7BBFA5E9" w14:textId="6D703520" w:rsidR="008A0B7B" w:rsidRDefault="008A0B7B">
      <w:pPr>
        <w:spacing w:after="160" w:line="360" w:lineRule="auto"/>
        <w:jc w:val="both"/>
      </w:pPr>
    </w:p>
    <w:p w14:paraId="3F1D3248" w14:textId="53822DF8" w:rsidR="00B422FF" w:rsidRDefault="00000000">
      <w:pPr>
        <w:spacing w:before="160" w:after="80" w:line="360" w:lineRule="auto"/>
        <w:jc w:val="both"/>
      </w:pPr>
      <w:r>
        <w:rPr>
          <w:rFonts w:eastAsia="Calibri"/>
          <w:b/>
          <w:bCs/>
        </w:rPr>
        <w:t>Results</w:t>
      </w:r>
    </w:p>
    <w:p w14:paraId="5E1ED5A3" w14:textId="1EB281B3" w:rsidR="00B422FF" w:rsidRDefault="00754633">
      <w:pPr>
        <w:spacing w:after="160" w:line="360" w:lineRule="auto"/>
        <w:jc w:val="both"/>
        <w:rPr>
          <w:rFonts w:eastAsia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9D9F45" wp14:editId="0F45CBFA">
                <wp:simplePos x="0" y="0"/>
                <wp:positionH relativeFrom="column">
                  <wp:posOffset>822627</wp:posOffset>
                </wp:positionH>
                <wp:positionV relativeFrom="paragraph">
                  <wp:posOffset>3322445</wp:posOffset>
                </wp:positionV>
                <wp:extent cx="3267855" cy="457200"/>
                <wp:effectExtent l="0" t="0" r="0" b="0"/>
                <wp:wrapNone/>
                <wp:docPr id="15131398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855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50D412" w14:textId="5C6779D3" w:rsidR="00754633" w:rsidRPr="00754633" w:rsidRDefault="007546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54633">
                              <w:rPr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4D662014" w14:textId="2AFFC1E7" w:rsidR="00754633" w:rsidRPr="00754633" w:rsidRDefault="0075463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54633">
                              <w:rPr>
                                <w:sz w:val="20"/>
                                <w:szCs w:val="20"/>
                              </w:rPr>
                              <w:t>Interaction Effect of Private and Public Self-Consciousness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D9F45" id="_x0000_s1027" type="#_x0000_t202" style="position:absolute;left:0;text-align:left;margin-left:64.75pt;margin-top:261.6pt;width:257.3pt;height:3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" fillcolor="white [3201]" stroked="f" strokeweight=".5pt">
                <v:textbox>
                  <w:txbxContent>
                    <w:p w14:paraId="4150D412" w14:textId="5C6779D3" w:rsidR="00754633" w:rsidRPr="00754633" w:rsidRDefault="00754633">
                      <w:pPr>
                        <w:rPr>
                          <w:sz w:val="20"/>
                          <w:szCs w:val="20"/>
                        </w:rPr>
                      </w:pPr>
                      <w:r w:rsidRPr="00754633">
                        <w:rPr>
                          <w:sz w:val="20"/>
                          <w:szCs w:val="20"/>
                        </w:rPr>
                        <w:t xml:space="preserve">Figure 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  <w:p w14:paraId="4D662014" w14:textId="2AFFC1E7" w:rsidR="00754633" w:rsidRPr="00754633" w:rsidRDefault="00754633">
                      <w:pPr>
                        <w:rPr>
                          <w:sz w:val="20"/>
                          <w:szCs w:val="20"/>
                        </w:rPr>
                      </w:pPr>
                      <w:r w:rsidRPr="00754633">
                        <w:rPr>
                          <w:sz w:val="20"/>
                          <w:szCs w:val="20"/>
                        </w:rPr>
                        <w:t>Interaction Effect of Private and Public Self-Consciousness</w:t>
                      </w:r>
                    </w:p>
                  </w:txbxContent>
                </v:textbox>
              </v:shape>
            </w:pict>
          </mc:Fallback>
        </mc:AlternateContent>
      </w:r>
      <w:r w:rsidR="00F375D2" w:rsidRPr="00F375D2">
        <w:rPr>
          <w:noProof/>
        </w:rPr>
        <w:drawing>
          <wp:anchor distT="0" distB="0" distL="114300" distR="114300" simplePos="0" relativeHeight="251660288" behindDoc="0" locked="0" layoutInCell="1" allowOverlap="1" wp14:anchorId="5E069B2F" wp14:editId="7CFCECE8">
            <wp:simplePos x="0" y="0"/>
            <wp:positionH relativeFrom="column">
              <wp:posOffset>2914015</wp:posOffset>
            </wp:positionH>
            <wp:positionV relativeFrom="paragraph">
              <wp:posOffset>287010</wp:posOffset>
            </wp:positionV>
            <wp:extent cx="3029585" cy="2720340"/>
            <wp:effectExtent l="0" t="0" r="5715" b="0"/>
            <wp:wrapSquare wrapText="bothSides"/>
            <wp:docPr id="112292097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92097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9585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</w:rPr>
        <w:t xml:space="preserve">Primary process behaviors explained 58% of variance (adjusted </w:t>
      </w:r>
      <w:r w:rsidRPr="006A5F2A">
        <w:rPr>
          <w:rFonts w:eastAsia="Calibri"/>
          <w:i/>
          <w:iCs/>
        </w:rPr>
        <w:t>R</w:t>
      </w:r>
      <w:r>
        <w:rPr>
          <w:rFonts w:eastAsia="Calibri"/>
        </w:rPr>
        <w:t>² = .58). Self-related traits explained an additional 10% (Δ</w:t>
      </w:r>
      <w:r w:rsidRPr="006A5F2A">
        <w:rPr>
          <w:rFonts w:eastAsia="Calibri"/>
          <w:i/>
          <w:iCs/>
        </w:rPr>
        <w:t>R</w:t>
      </w:r>
      <w:r>
        <w:rPr>
          <w:rFonts w:eastAsia="Calibri"/>
        </w:rPr>
        <w:t xml:space="preserve">² = .10, </w:t>
      </w:r>
      <w:r w:rsidRPr="006A5F2A">
        <w:rPr>
          <w:rFonts w:eastAsia="Calibri"/>
          <w:i/>
          <w:iCs/>
        </w:rPr>
        <w:t>p</w:t>
      </w:r>
      <w:r>
        <w:rPr>
          <w:rFonts w:eastAsia="Calibri"/>
        </w:rPr>
        <w:t xml:space="preserve"> &lt; .001; total adjusted R² = .66). Private self-consciousness was the strongest predictor (</w:t>
      </w:r>
      <w:r w:rsidRPr="006A5F2A">
        <w:rPr>
          <w:rFonts w:eastAsia="Calibri"/>
          <w:i/>
          <w:iCs/>
        </w:rPr>
        <w:t>β</w:t>
      </w:r>
      <w:r>
        <w:rPr>
          <w:rFonts w:eastAsia="Calibri"/>
        </w:rPr>
        <w:t xml:space="preserve"> = .25, </w:t>
      </w:r>
      <w:r w:rsidRPr="006A5F2A">
        <w:rPr>
          <w:rFonts w:eastAsia="Calibri"/>
          <w:i/>
          <w:iCs/>
        </w:rPr>
        <w:t>p</w:t>
      </w:r>
      <w:r>
        <w:rPr>
          <w:rFonts w:eastAsia="Calibri"/>
        </w:rPr>
        <w:t xml:space="preserve"> &lt; .001), followed by public self-consciousness (</w:t>
      </w:r>
      <w:r w:rsidRPr="006A5F2A">
        <w:rPr>
          <w:rFonts w:eastAsia="Calibri"/>
          <w:i/>
          <w:iCs/>
        </w:rPr>
        <w:t>β</w:t>
      </w:r>
      <w:r>
        <w:rPr>
          <w:rFonts w:eastAsia="Calibri"/>
        </w:rPr>
        <w:t xml:space="preserve"> = −.18, </w:t>
      </w:r>
      <w:r w:rsidRPr="006A5F2A">
        <w:rPr>
          <w:rFonts w:eastAsia="Calibri"/>
          <w:i/>
          <w:iCs/>
        </w:rPr>
        <w:t>p</w:t>
      </w:r>
      <w:r>
        <w:rPr>
          <w:rFonts w:eastAsia="Calibri"/>
        </w:rPr>
        <w:t xml:space="preserve"> = .003) and vitality (</w:t>
      </w:r>
      <w:r w:rsidRPr="006A5F2A">
        <w:rPr>
          <w:rFonts w:eastAsia="Calibri"/>
          <w:i/>
          <w:iCs/>
        </w:rPr>
        <w:t>β</w:t>
      </w:r>
      <w:r>
        <w:rPr>
          <w:rFonts w:eastAsia="Calibri"/>
        </w:rPr>
        <w:t xml:space="preserve"> = .15, </w:t>
      </w:r>
      <w:r w:rsidRPr="006A5F2A">
        <w:rPr>
          <w:rFonts w:eastAsia="Calibri"/>
          <w:i/>
          <w:iCs/>
        </w:rPr>
        <w:t>p</w:t>
      </w:r>
      <w:r>
        <w:rPr>
          <w:rFonts w:eastAsia="Calibri"/>
        </w:rPr>
        <w:t xml:space="preserve"> = .011), supporting H1 partially, H2, and H3 (Table </w:t>
      </w:r>
      <w:r w:rsidR="00840489">
        <w:rPr>
          <w:rFonts w:eastAsia="Calibri"/>
        </w:rPr>
        <w:t>1</w:t>
      </w:r>
      <w:r>
        <w:rPr>
          <w:rFonts w:eastAsia="Calibri"/>
        </w:rPr>
        <w:t>). H4 was supported: the interaction was significant (Δ</w:t>
      </w:r>
      <w:r w:rsidRPr="006A5F2A">
        <w:rPr>
          <w:rFonts w:eastAsia="Calibri"/>
          <w:i/>
          <w:iCs/>
        </w:rPr>
        <w:t>R</w:t>
      </w:r>
      <w:r>
        <w:rPr>
          <w:rFonts w:eastAsia="Calibri"/>
        </w:rPr>
        <w:t xml:space="preserve">² = .01, </w:t>
      </w:r>
      <w:r w:rsidRPr="006A5F2A">
        <w:rPr>
          <w:rFonts w:eastAsia="Calibri"/>
          <w:i/>
          <w:iCs/>
        </w:rPr>
        <w:t>p</w:t>
      </w:r>
      <w:r>
        <w:rPr>
          <w:rFonts w:eastAsia="Calibri"/>
        </w:rPr>
        <w:t xml:space="preserve"> = .010), with private self-consciousness facilitating goal clarification in approximately 85% of students, while the effect disappeared for the top 15% highest in public self-consciousness (Figure 2).</w:t>
      </w:r>
    </w:p>
    <w:p w14:paraId="167808A3" w14:textId="76394F8F" w:rsidR="00F375D2" w:rsidRDefault="00F375D2">
      <w:pPr>
        <w:spacing w:after="160" w:line="360" w:lineRule="auto"/>
        <w:jc w:val="both"/>
      </w:pPr>
    </w:p>
    <w:p w14:paraId="5FF6B41E" w14:textId="690CDF82" w:rsidR="00B422FF" w:rsidRDefault="00754633" w:rsidP="00F375D2">
      <w:pPr>
        <w:spacing w:after="80"/>
        <w:jc w:val="center"/>
      </w:pPr>
      <w:r>
        <w:rPr>
          <w:noProof/>
        </w:rPr>
        <w:drawing>
          <wp:inline distT="0" distB="0" distL="0" distR="0" wp14:anchorId="2DE769FA" wp14:editId="21D956F1">
            <wp:extent cx="4660900" cy="2882900"/>
            <wp:effectExtent l="0" t="0" r="0" b="0"/>
            <wp:docPr id="183944903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944903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0900" cy="288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40CAAE" w14:textId="77777777" w:rsidR="00B422FF" w:rsidRDefault="00B422FF">
      <w:pPr>
        <w:spacing w:after="80"/>
      </w:pPr>
    </w:p>
    <w:p w14:paraId="6BAC4C0D" w14:textId="77777777" w:rsidR="00B422FF" w:rsidRDefault="00000000">
      <w:pPr>
        <w:spacing w:before="160" w:after="80" w:line="360" w:lineRule="auto"/>
        <w:jc w:val="both"/>
      </w:pPr>
      <w:r>
        <w:rPr>
          <w:rFonts w:eastAsia="Calibri"/>
          <w:b/>
          <w:bCs/>
        </w:rPr>
        <w:lastRenderedPageBreak/>
        <w:t>Conclusions</w:t>
      </w:r>
    </w:p>
    <w:p w14:paraId="4BEE7C91" w14:textId="77777777" w:rsidR="00B422FF" w:rsidRDefault="00000000">
      <w:pPr>
        <w:spacing w:after="160" w:line="360" w:lineRule="auto"/>
        <w:jc w:val="both"/>
      </w:pPr>
      <w:r>
        <w:rPr>
          <w:rFonts w:eastAsia="Calibri"/>
        </w:rPr>
        <w:t>Vitality functions as an unconditional stable resource throughout job hunting. For most students, approaches fostering inward career reflection support goal clarification. For the top 15% highest in public self-consciousness, however, standard reflective approaches may be insufficient without first reducing evaluation concern—such as via self-compassion—to restore conditions for effective private self-reflection. The innate/acquired resilience distinction further supports differentiated career guidance: leveraging stable strengths while cultivating learnable capacities through experience.</w:t>
      </w:r>
    </w:p>
    <w:p w14:paraId="172DAB75" w14:textId="77777777" w:rsidR="00B422FF" w:rsidRDefault="00B422FF">
      <w:pPr>
        <w:spacing w:after="80"/>
      </w:pPr>
    </w:p>
    <w:p w14:paraId="4E1766BE" w14:textId="77777777" w:rsidR="00B422FF" w:rsidRDefault="00000000">
      <w:pPr>
        <w:spacing w:before="160" w:after="80" w:line="360" w:lineRule="auto"/>
        <w:jc w:val="both"/>
      </w:pPr>
      <w:r>
        <w:rPr>
          <w:rFonts w:eastAsia="Calibri"/>
          <w:b/>
          <w:bCs/>
        </w:rPr>
        <w:t>Bibliographical References</w:t>
      </w:r>
    </w:p>
    <w:p w14:paraId="3C84A78C" w14:textId="77777777" w:rsidR="00B422FF" w:rsidRDefault="00000000">
      <w:pPr>
        <w:spacing w:after="160" w:line="360" w:lineRule="auto"/>
        <w:jc w:val="both"/>
      </w:pPr>
      <w:proofErr w:type="spellStart"/>
      <w:r>
        <w:rPr>
          <w:rFonts w:eastAsia="Calibri"/>
        </w:rPr>
        <w:t>Karube</w:t>
      </w:r>
      <w:proofErr w:type="spellEnd"/>
      <w:r>
        <w:rPr>
          <w:rFonts w:eastAsia="Calibri"/>
        </w:rPr>
        <w:t xml:space="preserve">, Y., Sato, J., &amp; </w:t>
      </w:r>
      <w:proofErr w:type="spellStart"/>
      <w:r>
        <w:rPr>
          <w:rFonts w:eastAsia="Calibri"/>
        </w:rPr>
        <w:t>Sugie</w:t>
      </w:r>
      <w:proofErr w:type="spellEnd"/>
      <w:r>
        <w:rPr>
          <w:rFonts w:eastAsia="Calibri"/>
        </w:rPr>
        <w:t>, M. (2014). Maintenance processes for job-hunting among Japanese university students: Focusing on rejection experiences. Bulletin of Psychological Research, University of Tsukuba, 48, 71–85.</w:t>
      </w:r>
    </w:p>
    <w:p w14:paraId="0A27B303" w14:textId="47B996BF" w:rsidR="00B422FF" w:rsidRDefault="00000000">
      <w:pPr>
        <w:spacing w:after="160" w:line="360" w:lineRule="auto"/>
        <w:jc w:val="both"/>
      </w:pPr>
      <w:proofErr w:type="spellStart"/>
      <w:r>
        <w:rPr>
          <w:rFonts w:eastAsia="Calibri"/>
        </w:rPr>
        <w:t>Karube</w:t>
      </w:r>
      <w:proofErr w:type="spellEnd"/>
      <w:r>
        <w:rPr>
          <w:rFonts w:eastAsia="Calibri"/>
        </w:rPr>
        <w:t xml:space="preserve">, Y., Sato, J., &amp; </w:t>
      </w:r>
      <w:proofErr w:type="spellStart"/>
      <w:r>
        <w:rPr>
          <w:rFonts w:eastAsia="Calibri"/>
        </w:rPr>
        <w:t>Sugie</w:t>
      </w:r>
      <w:proofErr w:type="spellEnd"/>
      <w:r>
        <w:rPr>
          <w:rFonts w:eastAsia="Calibri"/>
        </w:rPr>
        <w:t>, M. (2015). Measuring job-hunting maintenance processes of Japanese university students: Scale development. The Japanese Journal of Educational Psychology, 63, 386–400.</w:t>
      </w:r>
    </w:p>
    <w:sectPr w:rsidR="00B422FF">
      <w:pgSz w:w="11906" w:h="16838"/>
      <w:pgMar w:top="1418" w:right="1418" w:bottom="1418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C81ADF"/>
    <w:multiLevelType w:val="hybridMultilevel"/>
    <w:tmpl w:val="3C4817D0"/>
    <w:lvl w:ilvl="0" w:tplc="C9009038">
      <w:start w:val="1"/>
      <w:numFmt w:val="bullet"/>
      <w:lvlText w:val="●"/>
      <w:lvlJc w:val="left"/>
      <w:pPr>
        <w:ind w:left="720" w:hanging="360"/>
      </w:pPr>
    </w:lvl>
    <w:lvl w:ilvl="1" w:tplc="521EDA08">
      <w:start w:val="1"/>
      <w:numFmt w:val="bullet"/>
      <w:lvlText w:val="○"/>
      <w:lvlJc w:val="left"/>
      <w:pPr>
        <w:ind w:left="1440" w:hanging="360"/>
      </w:pPr>
    </w:lvl>
    <w:lvl w:ilvl="2" w:tplc="03203370">
      <w:start w:val="1"/>
      <w:numFmt w:val="bullet"/>
      <w:lvlText w:val="■"/>
      <w:lvlJc w:val="left"/>
      <w:pPr>
        <w:ind w:left="2160" w:hanging="360"/>
      </w:pPr>
    </w:lvl>
    <w:lvl w:ilvl="3" w:tplc="DFBE1E64">
      <w:start w:val="1"/>
      <w:numFmt w:val="bullet"/>
      <w:lvlText w:val="●"/>
      <w:lvlJc w:val="left"/>
      <w:pPr>
        <w:ind w:left="2880" w:hanging="360"/>
      </w:pPr>
    </w:lvl>
    <w:lvl w:ilvl="4" w:tplc="50FC3498">
      <w:start w:val="1"/>
      <w:numFmt w:val="bullet"/>
      <w:lvlText w:val="○"/>
      <w:lvlJc w:val="left"/>
      <w:pPr>
        <w:ind w:left="3600" w:hanging="360"/>
      </w:pPr>
    </w:lvl>
    <w:lvl w:ilvl="5" w:tplc="3AD2E13C">
      <w:start w:val="1"/>
      <w:numFmt w:val="bullet"/>
      <w:lvlText w:val="■"/>
      <w:lvlJc w:val="left"/>
      <w:pPr>
        <w:ind w:left="4320" w:hanging="360"/>
      </w:pPr>
    </w:lvl>
    <w:lvl w:ilvl="6" w:tplc="6D4C877C">
      <w:start w:val="1"/>
      <w:numFmt w:val="bullet"/>
      <w:lvlText w:val="●"/>
      <w:lvlJc w:val="left"/>
      <w:pPr>
        <w:ind w:left="5040" w:hanging="360"/>
      </w:pPr>
    </w:lvl>
    <w:lvl w:ilvl="7" w:tplc="30E07498">
      <w:start w:val="1"/>
      <w:numFmt w:val="bullet"/>
      <w:lvlText w:val="●"/>
      <w:lvlJc w:val="left"/>
      <w:pPr>
        <w:ind w:left="5760" w:hanging="360"/>
      </w:pPr>
    </w:lvl>
    <w:lvl w:ilvl="8" w:tplc="64C6A034">
      <w:start w:val="1"/>
      <w:numFmt w:val="bullet"/>
      <w:lvlText w:val="●"/>
      <w:lvlJc w:val="left"/>
      <w:pPr>
        <w:ind w:left="6480" w:hanging="360"/>
      </w:pPr>
    </w:lvl>
  </w:abstractNum>
  <w:num w:numId="1" w16cid:durableId="10062519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2FF"/>
    <w:rsid w:val="006A5F2A"/>
    <w:rsid w:val="00754633"/>
    <w:rsid w:val="007734FC"/>
    <w:rsid w:val="00840489"/>
    <w:rsid w:val="008A0B7B"/>
    <w:rsid w:val="00AA70B0"/>
    <w:rsid w:val="00B422FF"/>
    <w:rsid w:val="00EF0771"/>
    <w:rsid w:val="00F048EF"/>
    <w:rsid w:val="00F31E2E"/>
    <w:rsid w:val="00F37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C1972C1"/>
  <w15:docId w15:val="{490851B9-15A6-D145-A403-7168C519C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9B3DD21-71B4-7B4F-8E75-02BA44E9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輕部　雄輝</cp:lastModifiedBy>
  <cp:revision>4</cp:revision>
  <dcterms:created xsi:type="dcterms:W3CDTF">2026-04-02T02:57:00Z</dcterms:created>
  <dcterms:modified xsi:type="dcterms:W3CDTF">2026-04-02T09:47:00Z</dcterms:modified>
</cp:coreProperties>
</file>