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7381"/>
      </w:tblGrid>
      <w:tr w:rsidR="00957CD8" w:rsidRPr="00C419B9" w14:paraId="285AC6E0" w14:textId="77777777">
        <w:trPr>
          <w:trHeight w:val="872"/>
        </w:trPr>
        <w:tc>
          <w:tcPr>
            <w:tcW w:w="7381" w:type="dxa"/>
            <w:tcBorders>
              <w:top w:val="none" w:sz="6" w:space="0" w:color="auto"/>
              <w:bottom w:val="none" w:sz="6" w:space="0" w:color="auto"/>
            </w:tcBorders>
          </w:tcPr>
          <w:p w14:paraId="1AADD783" w14:textId="416D6D9A" w:rsidR="00957CD8" w:rsidRPr="00C419B9" w:rsidRDefault="00957CD8" w:rsidP="007715EE">
            <w:pPr>
              <w:tabs>
                <w:tab w:val="left" w:pos="1632"/>
              </w:tabs>
              <w:spacing w:line="360" w:lineRule="auto"/>
              <w:ind w:firstLine="0"/>
              <w:jc w:val="both"/>
              <w:rPr>
                <w:rFonts w:ascii="Calibri" w:hAnsi="Calibri" w:cs="Calibri"/>
                <w:sz w:val="22"/>
                <w:szCs w:val="22"/>
              </w:rPr>
            </w:pPr>
            <w:r w:rsidRPr="00C419B9">
              <w:rPr>
                <w:rFonts w:ascii="Calibri" w:hAnsi="Calibri" w:cs="Calibri"/>
                <w:noProof/>
                <w:sz w:val="22"/>
                <w:szCs w:val="22"/>
                <w:highlight w:val="green"/>
              </w:rPr>
              <w:drawing>
                <wp:anchor distT="0" distB="0" distL="114300" distR="114300" simplePos="0" relativeHeight="251669504" behindDoc="0" locked="0" layoutInCell="1" allowOverlap="1" wp14:anchorId="51CEF983" wp14:editId="59382FC8">
                  <wp:simplePos x="0" y="0"/>
                  <wp:positionH relativeFrom="column">
                    <wp:posOffset>0</wp:posOffset>
                  </wp:positionH>
                  <wp:positionV relativeFrom="paragraph">
                    <wp:posOffset>374650</wp:posOffset>
                  </wp:positionV>
                  <wp:extent cx="1327150" cy="1480820"/>
                  <wp:effectExtent l="0" t="0" r="6350" b="5080"/>
                  <wp:wrapTopAndBottom/>
                  <wp:docPr id="1689894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7150" cy="1480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9B9">
              <w:rPr>
                <w:rFonts w:ascii="Calibri" w:hAnsi="Calibri" w:cs="Calibri"/>
                <w:sz w:val="22"/>
                <w:szCs w:val="22"/>
              </w:rPr>
              <w:t xml:space="preserve"> </w:t>
            </w:r>
            <w:r w:rsidRPr="00C419B9">
              <w:rPr>
                <w:rFonts w:ascii="Calibri" w:hAnsi="Calibri" w:cs="Calibri"/>
                <w:b/>
                <w:bCs/>
                <w:sz w:val="22"/>
                <w:szCs w:val="22"/>
              </w:rPr>
              <w:t>Research - Hiwa-</w:t>
            </w:r>
            <w:proofErr w:type="spellStart"/>
            <w:r w:rsidRPr="00C419B9">
              <w:rPr>
                <w:rFonts w:ascii="Calibri" w:hAnsi="Calibri" w:cs="Calibri"/>
                <w:b/>
                <w:bCs/>
                <w:sz w:val="22"/>
                <w:szCs w:val="22"/>
              </w:rPr>
              <w:t>i</w:t>
            </w:r>
            <w:proofErr w:type="spellEnd"/>
            <w:r w:rsidRPr="00C419B9">
              <w:rPr>
                <w:rFonts w:ascii="Calibri" w:hAnsi="Calibri" w:cs="Calibri"/>
                <w:b/>
                <w:bCs/>
                <w:sz w:val="22"/>
                <w:szCs w:val="22"/>
              </w:rPr>
              <w:t>-</w:t>
            </w:r>
            <w:proofErr w:type="spellStart"/>
            <w:r w:rsidRPr="00C419B9">
              <w:rPr>
                <w:rFonts w:ascii="Calibri" w:hAnsi="Calibri" w:cs="Calibri"/>
                <w:b/>
                <w:bCs/>
                <w:sz w:val="22"/>
                <w:szCs w:val="22"/>
              </w:rPr>
              <w:t>te-rangi</w:t>
            </w:r>
            <w:proofErr w:type="spellEnd"/>
            <w:r w:rsidRPr="00C419B9">
              <w:rPr>
                <w:rFonts w:ascii="Calibri" w:hAnsi="Calibri" w:cs="Calibri"/>
                <w:b/>
                <w:bCs/>
                <w:sz w:val="22"/>
                <w:szCs w:val="22"/>
              </w:rPr>
              <w:t xml:space="preserve"> </w:t>
            </w:r>
          </w:p>
          <w:p w14:paraId="1A318220" w14:textId="77777777" w:rsidR="00957CD8" w:rsidRPr="00C419B9" w:rsidRDefault="00957CD8" w:rsidP="007715EE">
            <w:pPr>
              <w:tabs>
                <w:tab w:val="left" w:pos="1632"/>
              </w:tabs>
              <w:spacing w:line="360" w:lineRule="auto"/>
              <w:ind w:firstLine="0"/>
              <w:jc w:val="both"/>
              <w:rPr>
                <w:rFonts w:ascii="Calibri" w:hAnsi="Calibri" w:cs="Calibri"/>
                <w:sz w:val="22"/>
                <w:szCs w:val="22"/>
              </w:rPr>
            </w:pPr>
            <w:r w:rsidRPr="00C419B9">
              <w:rPr>
                <w:rFonts w:ascii="Calibri" w:hAnsi="Calibri" w:cs="Calibri"/>
                <w:i/>
                <w:iCs/>
                <w:sz w:val="22"/>
                <w:szCs w:val="22"/>
              </w:rPr>
              <w:t xml:space="preserve">The wishing star; associated with the realisation of aspirations, dreams, and goals for the year to come. </w:t>
            </w:r>
          </w:p>
          <w:p w14:paraId="7859CEAD" w14:textId="77777777" w:rsidR="00957CD8" w:rsidRPr="00C419B9" w:rsidRDefault="00957CD8" w:rsidP="007715EE">
            <w:pPr>
              <w:tabs>
                <w:tab w:val="left" w:pos="1632"/>
              </w:tabs>
              <w:spacing w:line="360" w:lineRule="auto"/>
              <w:ind w:firstLine="0"/>
              <w:jc w:val="both"/>
              <w:rPr>
                <w:rFonts w:ascii="Calibri" w:hAnsi="Calibri" w:cs="Calibri"/>
                <w:sz w:val="22"/>
                <w:szCs w:val="22"/>
              </w:rPr>
            </w:pPr>
            <w:r w:rsidRPr="00C419B9">
              <w:rPr>
                <w:rFonts w:ascii="Calibri" w:hAnsi="Calibri" w:cs="Calibri"/>
                <w:b/>
                <w:bCs/>
                <w:sz w:val="22"/>
                <w:szCs w:val="22"/>
              </w:rPr>
              <w:t xml:space="preserve">Themes to consider: </w:t>
            </w:r>
            <w:r w:rsidRPr="00C419B9">
              <w:rPr>
                <w:rFonts w:ascii="Calibri" w:hAnsi="Calibri" w:cs="Calibri"/>
                <w:sz w:val="22"/>
                <w:szCs w:val="22"/>
              </w:rPr>
              <w:t xml:space="preserve">Future Directions in Research; Future Thinking; Using Research to Look Ahead </w:t>
            </w:r>
          </w:p>
        </w:tc>
      </w:tr>
    </w:tbl>
    <w:p w14:paraId="0C9B08CA" w14:textId="3D8C34F3" w:rsidR="00957CD8" w:rsidRPr="00C419B9" w:rsidRDefault="00957CD8" w:rsidP="007715EE">
      <w:pPr>
        <w:tabs>
          <w:tab w:val="left" w:pos="1632"/>
        </w:tabs>
        <w:spacing w:line="360" w:lineRule="auto"/>
        <w:ind w:firstLine="0"/>
        <w:jc w:val="both"/>
        <w:rPr>
          <w:rFonts w:ascii="Calibri" w:hAnsi="Calibri" w:cs="Calibri"/>
          <w:sz w:val="22"/>
          <w:szCs w:val="22"/>
        </w:rPr>
      </w:pPr>
    </w:p>
    <w:p w14:paraId="0608E08D" w14:textId="77777777" w:rsidR="00010BCF" w:rsidRPr="00C419B9" w:rsidRDefault="00010BCF" w:rsidP="007715EE">
      <w:pPr>
        <w:pStyle w:val="Heading2"/>
        <w:spacing w:before="0" w:after="0" w:line="360" w:lineRule="auto"/>
        <w:ind w:firstLine="0"/>
        <w:jc w:val="both"/>
        <w:rPr>
          <w:rFonts w:ascii="Calibri" w:hAnsi="Calibri" w:cs="Calibri"/>
          <w:sz w:val="22"/>
          <w:szCs w:val="22"/>
        </w:rPr>
      </w:pPr>
      <w:r w:rsidRPr="00C419B9">
        <w:rPr>
          <w:rFonts w:ascii="Calibri" w:hAnsi="Calibri" w:cs="Calibri"/>
          <w:sz w:val="22"/>
          <w:szCs w:val="22"/>
        </w:rPr>
        <w:t>FORMAT OF PROPOSALS</w:t>
      </w:r>
    </w:p>
    <w:p w14:paraId="1D9B3FCA" w14:textId="77777777" w:rsidR="00010BCF" w:rsidRPr="00C419B9" w:rsidRDefault="00010BCF" w:rsidP="007715EE">
      <w:pPr>
        <w:numPr>
          <w:ilvl w:val="0"/>
          <w:numId w:val="2"/>
        </w:numPr>
        <w:spacing w:line="360" w:lineRule="auto"/>
        <w:ind w:left="0" w:firstLine="0"/>
        <w:jc w:val="both"/>
        <w:rPr>
          <w:rFonts w:ascii="Calibri" w:hAnsi="Calibri" w:cs="Calibri"/>
          <w:sz w:val="22"/>
          <w:szCs w:val="22"/>
        </w:rPr>
      </w:pPr>
      <w:bookmarkStart w:id="0" w:name="_Hlk216770575"/>
      <w:r w:rsidRPr="00C419B9">
        <w:rPr>
          <w:rFonts w:ascii="Calibri" w:hAnsi="Calibri" w:cs="Calibri"/>
          <w:sz w:val="22"/>
          <w:szCs w:val="22"/>
        </w:rPr>
        <w:t>Family name and first name of the first contributor/author/discussant or chair</w:t>
      </w:r>
    </w:p>
    <w:p w14:paraId="04AD0CD8" w14:textId="28593AE6" w:rsidR="00010BCF" w:rsidRPr="00C419B9" w:rsidRDefault="00010BCF" w:rsidP="007715EE">
      <w:pPr>
        <w:spacing w:line="360" w:lineRule="auto"/>
        <w:ind w:firstLine="0"/>
        <w:jc w:val="both"/>
        <w:rPr>
          <w:rFonts w:ascii="Calibri" w:hAnsi="Calibri" w:cs="Calibri"/>
          <w:sz w:val="22"/>
          <w:szCs w:val="22"/>
        </w:rPr>
      </w:pPr>
      <w:r w:rsidRPr="00C419B9">
        <w:rPr>
          <w:rFonts w:ascii="Calibri" w:hAnsi="Calibri" w:cs="Calibri"/>
          <w:sz w:val="22"/>
          <w:szCs w:val="22"/>
        </w:rPr>
        <w:t>Dr Melanie EVANGELISTA</w:t>
      </w:r>
    </w:p>
    <w:p w14:paraId="67EAF58F" w14:textId="77777777" w:rsidR="00010BCF" w:rsidRPr="00C419B9" w:rsidRDefault="00010BCF" w:rsidP="007715EE">
      <w:pPr>
        <w:numPr>
          <w:ilvl w:val="0"/>
          <w:numId w:val="2"/>
        </w:numPr>
        <w:spacing w:line="360" w:lineRule="auto"/>
        <w:ind w:left="0" w:firstLine="0"/>
        <w:jc w:val="both"/>
        <w:rPr>
          <w:rFonts w:ascii="Calibri" w:hAnsi="Calibri" w:cs="Calibri"/>
          <w:sz w:val="22"/>
          <w:szCs w:val="22"/>
        </w:rPr>
      </w:pPr>
      <w:r w:rsidRPr="00C419B9">
        <w:rPr>
          <w:rFonts w:ascii="Calibri" w:hAnsi="Calibri" w:cs="Calibri"/>
          <w:sz w:val="22"/>
          <w:szCs w:val="22"/>
        </w:rPr>
        <w:t>Title/position of the first contributor/author</w:t>
      </w:r>
    </w:p>
    <w:p w14:paraId="51B213B6" w14:textId="2CF70D7F" w:rsidR="00010BCF" w:rsidRPr="00C419B9" w:rsidRDefault="00010BCF" w:rsidP="007715EE">
      <w:pPr>
        <w:spacing w:line="360" w:lineRule="auto"/>
        <w:ind w:firstLine="0"/>
        <w:jc w:val="both"/>
        <w:rPr>
          <w:rFonts w:ascii="Calibri" w:hAnsi="Calibri" w:cs="Calibri"/>
          <w:sz w:val="22"/>
          <w:szCs w:val="22"/>
        </w:rPr>
      </w:pPr>
      <w:r w:rsidRPr="00C419B9">
        <w:rPr>
          <w:rFonts w:ascii="Calibri" w:hAnsi="Calibri" w:cs="Calibri"/>
          <w:sz w:val="22"/>
          <w:szCs w:val="22"/>
        </w:rPr>
        <w:t>Lecturer</w:t>
      </w:r>
    </w:p>
    <w:p w14:paraId="3BDB4C3C" w14:textId="77777777" w:rsidR="00010BCF" w:rsidRPr="00C419B9" w:rsidRDefault="00010BCF" w:rsidP="007715EE">
      <w:pPr>
        <w:numPr>
          <w:ilvl w:val="0"/>
          <w:numId w:val="2"/>
        </w:numPr>
        <w:spacing w:line="360" w:lineRule="auto"/>
        <w:ind w:left="0" w:firstLine="0"/>
        <w:jc w:val="both"/>
        <w:rPr>
          <w:rFonts w:ascii="Calibri" w:hAnsi="Calibri" w:cs="Calibri"/>
          <w:sz w:val="22"/>
          <w:szCs w:val="22"/>
        </w:rPr>
      </w:pPr>
      <w:r w:rsidRPr="00C419B9">
        <w:rPr>
          <w:rFonts w:ascii="Calibri" w:hAnsi="Calibri" w:cs="Calibri"/>
          <w:sz w:val="22"/>
          <w:szCs w:val="22"/>
        </w:rPr>
        <w:t>E-mail of the first contributor/author</w:t>
      </w:r>
    </w:p>
    <w:p w14:paraId="165A9F05" w14:textId="44F9D591" w:rsidR="00010BCF" w:rsidRPr="00C419B9" w:rsidRDefault="00010BCF" w:rsidP="007715EE">
      <w:pPr>
        <w:spacing w:line="360" w:lineRule="auto"/>
        <w:ind w:firstLine="0"/>
        <w:jc w:val="both"/>
        <w:rPr>
          <w:rFonts w:ascii="Calibri" w:hAnsi="Calibri" w:cs="Calibri"/>
          <w:sz w:val="22"/>
          <w:szCs w:val="22"/>
        </w:rPr>
      </w:pPr>
      <w:hyperlink r:id="rId9" w:history="1">
        <w:r w:rsidRPr="00C419B9">
          <w:rPr>
            <w:rStyle w:val="Hyperlink"/>
            <w:rFonts w:ascii="Calibri" w:hAnsi="Calibri" w:cs="Calibri"/>
            <w:sz w:val="22"/>
            <w:szCs w:val="22"/>
          </w:rPr>
          <w:t>m.evangelista@boxhill.edu.au</w:t>
        </w:r>
      </w:hyperlink>
      <w:r w:rsidRPr="00C419B9">
        <w:rPr>
          <w:rFonts w:ascii="Calibri" w:hAnsi="Calibri" w:cs="Calibri"/>
          <w:sz w:val="22"/>
          <w:szCs w:val="22"/>
        </w:rPr>
        <w:t xml:space="preserve"> (work)</w:t>
      </w:r>
    </w:p>
    <w:p w14:paraId="1C8D8C16" w14:textId="25518512" w:rsidR="00010BCF" w:rsidRPr="00C419B9" w:rsidRDefault="00010BCF" w:rsidP="007715EE">
      <w:pPr>
        <w:spacing w:line="360" w:lineRule="auto"/>
        <w:ind w:firstLine="0"/>
        <w:jc w:val="both"/>
        <w:rPr>
          <w:rFonts w:ascii="Calibri" w:hAnsi="Calibri" w:cs="Calibri"/>
          <w:sz w:val="22"/>
          <w:szCs w:val="22"/>
        </w:rPr>
      </w:pPr>
      <w:hyperlink r:id="rId10" w:history="1">
        <w:r w:rsidRPr="00C419B9">
          <w:rPr>
            <w:rStyle w:val="Hyperlink"/>
            <w:rFonts w:ascii="Calibri" w:hAnsi="Calibri" w:cs="Calibri"/>
            <w:sz w:val="22"/>
            <w:szCs w:val="22"/>
          </w:rPr>
          <w:t>tametm@hotmail.com</w:t>
        </w:r>
      </w:hyperlink>
      <w:r w:rsidRPr="00C419B9">
        <w:rPr>
          <w:rFonts w:ascii="Calibri" w:hAnsi="Calibri" w:cs="Calibri"/>
          <w:sz w:val="22"/>
          <w:szCs w:val="22"/>
        </w:rPr>
        <w:t xml:space="preserve"> (personal and registration email)</w:t>
      </w:r>
    </w:p>
    <w:p w14:paraId="6708791B" w14:textId="77777777" w:rsidR="00010BCF" w:rsidRPr="00C419B9" w:rsidRDefault="00010BCF" w:rsidP="007715EE">
      <w:pPr>
        <w:numPr>
          <w:ilvl w:val="0"/>
          <w:numId w:val="2"/>
        </w:numPr>
        <w:spacing w:line="360" w:lineRule="auto"/>
        <w:ind w:left="0" w:firstLine="0"/>
        <w:jc w:val="both"/>
        <w:rPr>
          <w:rFonts w:ascii="Calibri" w:hAnsi="Calibri" w:cs="Calibri"/>
          <w:sz w:val="22"/>
          <w:szCs w:val="22"/>
        </w:rPr>
      </w:pPr>
      <w:r w:rsidRPr="00C419B9">
        <w:rPr>
          <w:rFonts w:ascii="Calibri" w:hAnsi="Calibri" w:cs="Calibri"/>
          <w:sz w:val="22"/>
          <w:szCs w:val="22"/>
        </w:rPr>
        <w:t>Institution to which the first contributor/author belongs</w:t>
      </w:r>
    </w:p>
    <w:p w14:paraId="737CBDC6" w14:textId="34029FCB" w:rsidR="00010BCF" w:rsidRPr="00C419B9" w:rsidRDefault="00010BCF" w:rsidP="007715EE">
      <w:pPr>
        <w:spacing w:line="360" w:lineRule="auto"/>
        <w:ind w:firstLine="0"/>
        <w:jc w:val="both"/>
        <w:rPr>
          <w:rFonts w:ascii="Calibri" w:hAnsi="Calibri" w:cs="Calibri"/>
          <w:sz w:val="22"/>
          <w:szCs w:val="22"/>
        </w:rPr>
      </w:pPr>
      <w:r w:rsidRPr="00C419B9">
        <w:rPr>
          <w:rFonts w:ascii="Calibri" w:hAnsi="Calibri" w:cs="Calibri"/>
          <w:sz w:val="22"/>
          <w:szCs w:val="22"/>
        </w:rPr>
        <w:t>Box Hill Institute</w:t>
      </w:r>
    </w:p>
    <w:p w14:paraId="4B1ADC72" w14:textId="77777777" w:rsidR="00010BCF" w:rsidRPr="00C419B9" w:rsidRDefault="00010BCF" w:rsidP="007715EE">
      <w:pPr>
        <w:numPr>
          <w:ilvl w:val="0"/>
          <w:numId w:val="2"/>
        </w:numPr>
        <w:spacing w:line="360" w:lineRule="auto"/>
        <w:ind w:left="0" w:firstLine="0"/>
        <w:jc w:val="both"/>
        <w:rPr>
          <w:rFonts w:ascii="Calibri" w:hAnsi="Calibri" w:cs="Calibri"/>
          <w:sz w:val="22"/>
          <w:szCs w:val="22"/>
        </w:rPr>
      </w:pPr>
      <w:r w:rsidRPr="00C419B9">
        <w:rPr>
          <w:rFonts w:ascii="Calibri" w:hAnsi="Calibri" w:cs="Calibri"/>
          <w:sz w:val="22"/>
          <w:szCs w:val="22"/>
        </w:rPr>
        <w:t>Family name, first name, institution and title/position of presenters at the conference</w:t>
      </w:r>
    </w:p>
    <w:p w14:paraId="692CFEB2" w14:textId="58BFFA95" w:rsidR="00010BCF" w:rsidRPr="00C419B9" w:rsidRDefault="00010BCF" w:rsidP="007715EE">
      <w:pPr>
        <w:spacing w:line="360" w:lineRule="auto"/>
        <w:ind w:firstLine="0"/>
        <w:jc w:val="both"/>
        <w:rPr>
          <w:rFonts w:ascii="Calibri" w:hAnsi="Calibri" w:cs="Calibri"/>
          <w:sz w:val="22"/>
          <w:szCs w:val="22"/>
        </w:rPr>
      </w:pPr>
      <w:r w:rsidRPr="00C419B9">
        <w:rPr>
          <w:rFonts w:ascii="Calibri" w:hAnsi="Calibri" w:cs="Calibri"/>
          <w:sz w:val="22"/>
          <w:szCs w:val="22"/>
        </w:rPr>
        <w:t>EVANGELISTA, Melanie, Box Hill Institute, Lecturer</w:t>
      </w:r>
    </w:p>
    <w:p w14:paraId="6087E0DF" w14:textId="77777777" w:rsidR="00010BCF" w:rsidRPr="00C419B9" w:rsidRDefault="00010BCF" w:rsidP="007715EE">
      <w:pPr>
        <w:pStyle w:val="Heading2"/>
        <w:spacing w:before="0" w:after="0" w:line="360" w:lineRule="auto"/>
        <w:ind w:firstLine="0"/>
        <w:jc w:val="both"/>
        <w:rPr>
          <w:rFonts w:ascii="Calibri" w:hAnsi="Calibri" w:cs="Calibri"/>
          <w:sz w:val="22"/>
          <w:szCs w:val="22"/>
        </w:rPr>
      </w:pPr>
      <w:r w:rsidRPr="00C419B9">
        <w:rPr>
          <w:rFonts w:ascii="Calibri" w:hAnsi="Calibri" w:cs="Calibri"/>
          <w:sz w:val="22"/>
          <w:szCs w:val="22"/>
        </w:rPr>
        <w:t>Specifications for Paper sessions</w:t>
      </w:r>
    </w:p>
    <w:p w14:paraId="57CAB496"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Title of paper (max 15 words)</w:t>
      </w:r>
    </w:p>
    <w:p w14:paraId="64B11C39" w14:textId="3EB78FA8" w:rsidR="00010BCF" w:rsidRPr="00C419B9" w:rsidRDefault="00010BCF" w:rsidP="007715EE">
      <w:pPr>
        <w:spacing w:line="360" w:lineRule="auto"/>
        <w:ind w:firstLine="0"/>
        <w:jc w:val="both"/>
        <w:rPr>
          <w:rFonts w:ascii="Calibri" w:hAnsi="Calibri" w:cs="Calibri"/>
          <w:sz w:val="22"/>
          <w:szCs w:val="22"/>
        </w:rPr>
      </w:pPr>
      <w:r w:rsidRPr="00C419B9">
        <w:rPr>
          <w:rFonts w:ascii="Calibri" w:hAnsi="Calibri" w:cs="Calibri"/>
          <w:sz w:val="22"/>
          <w:szCs w:val="22"/>
        </w:rPr>
        <w:t>School Career Development Practitioners in Advocating STEM Careers Through Vocational Education and Training</w:t>
      </w:r>
    </w:p>
    <w:p w14:paraId="167EB5B6"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Indicate which of the conference themes your paper is linked to (if applicable). Contributions on other topics from the field of career guidance and career development are also welcome.</w:t>
      </w:r>
    </w:p>
    <w:p w14:paraId="00D79A66" w14:textId="0F179652" w:rsidR="006A1733" w:rsidRPr="00C419B9" w:rsidRDefault="00E364CD" w:rsidP="007715EE">
      <w:pPr>
        <w:spacing w:line="360" w:lineRule="auto"/>
        <w:ind w:firstLine="0"/>
        <w:jc w:val="both"/>
        <w:rPr>
          <w:rFonts w:ascii="Calibri" w:hAnsi="Calibri" w:cs="Calibri"/>
          <w:sz w:val="22"/>
          <w:szCs w:val="22"/>
        </w:rPr>
      </w:pPr>
      <w:r w:rsidRPr="00C419B9">
        <w:rPr>
          <w:rFonts w:ascii="Calibri" w:hAnsi="Calibri" w:cs="Calibri"/>
          <w:sz w:val="22"/>
          <w:szCs w:val="22"/>
        </w:rPr>
        <w:t>Hiwa-</w:t>
      </w:r>
      <w:proofErr w:type="spellStart"/>
      <w:r w:rsidRPr="00C419B9">
        <w:rPr>
          <w:rFonts w:ascii="Calibri" w:hAnsi="Calibri" w:cs="Calibri"/>
          <w:sz w:val="22"/>
          <w:szCs w:val="22"/>
        </w:rPr>
        <w:t>i</w:t>
      </w:r>
      <w:proofErr w:type="spellEnd"/>
      <w:r w:rsidRPr="00C419B9">
        <w:rPr>
          <w:rFonts w:ascii="Calibri" w:hAnsi="Calibri" w:cs="Calibri"/>
          <w:sz w:val="22"/>
          <w:szCs w:val="22"/>
        </w:rPr>
        <w:t>-</w:t>
      </w:r>
      <w:proofErr w:type="spellStart"/>
      <w:r w:rsidRPr="00C419B9">
        <w:rPr>
          <w:rFonts w:ascii="Calibri" w:hAnsi="Calibri" w:cs="Calibri"/>
          <w:sz w:val="22"/>
          <w:szCs w:val="22"/>
        </w:rPr>
        <w:t>te</w:t>
      </w:r>
      <w:r w:rsidR="002852CF" w:rsidRPr="00C419B9">
        <w:rPr>
          <w:rFonts w:ascii="Calibri" w:hAnsi="Calibri" w:cs="Calibri"/>
          <w:sz w:val="22"/>
          <w:szCs w:val="22"/>
        </w:rPr>
        <w:t>-rangi</w:t>
      </w:r>
      <w:proofErr w:type="spellEnd"/>
      <w:r w:rsidR="002852CF" w:rsidRPr="00C419B9">
        <w:rPr>
          <w:rFonts w:ascii="Calibri" w:hAnsi="Calibri" w:cs="Calibri"/>
          <w:sz w:val="22"/>
          <w:szCs w:val="22"/>
        </w:rPr>
        <w:t xml:space="preserve"> - Research</w:t>
      </w:r>
    </w:p>
    <w:p w14:paraId="160DCB14"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Presentation language at the conference</w:t>
      </w:r>
    </w:p>
    <w:p w14:paraId="7C6F32C9" w14:textId="44E93968" w:rsidR="006A1733" w:rsidRPr="00C419B9" w:rsidRDefault="006A1733" w:rsidP="007715EE">
      <w:pPr>
        <w:spacing w:line="360" w:lineRule="auto"/>
        <w:ind w:firstLine="0"/>
        <w:jc w:val="both"/>
        <w:rPr>
          <w:rFonts w:ascii="Calibri" w:hAnsi="Calibri" w:cs="Calibri"/>
          <w:sz w:val="22"/>
          <w:szCs w:val="22"/>
        </w:rPr>
      </w:pPr>
      <w:r w:rsidRPr="00C419B9">
        <w:rPr>
          <w:rFonts w:ascii="Calibri" w:hAnsi="Calibri" w:cs="Calibri"/>
          <w:sz w:val="22"/>
          <w:szCs w:val="22"/>
        </w:rPr>
        <w:t>English</w:t>
      </w:r>
    </w:p>
    <w:p w14:paraId="2A348E71"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 xml:space="preserve">Abstract maximum 600 words – </w:t>
      </w:r>
      <w:r w:rsidRPr="00C419B9">
        <w:rPr>
          <w:rFonts w:ascii="Calibri" w:hAnsi="Calibri" w:cs="Calibri"/>
          <w:i/>
          <w:iCs/>
          <w:sz w:val="22"/>
          <w:szCs w:val="22"/>
        </w:rPr>
        <w:t>will be published</w:t>
      </w:r>
    </w:p>
    <w:p w14:paraId="3D49462A"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lastRenderedPageBreak/>
        <w:t>Keywords: minimum of three (3) and a maximum of five (5)</w:t>
      </w:r>
    </w:p>
    <w:p w14:paraId="3F158D2E"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The proposal should consist of introduction, objectives, theoretical basis, methodology, results, conclusions and bibliographical references.</w:t>
      </w:r>
    </w:p>
    <w:p w14:paraId="38D5E1F9"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The proposal must be written in English.</w:t>
      </w:r>
    </w:p>
    <w:p w14:paraId="004AD325"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Bibliographic references in APA 7 format </w:t>
      </w:r>
      <w:hyperlink r:id="rId11" w:history="1">
        <w:r w:rsidRPr="00C419B9">
          <w:rPr>
            <w:rStyle w:val="Hyperlink"/>
            <w:rFonts w:ascii="Calibri" w:hAnsi="Calibri" w:cs="Calibri"/>
            <w:sz w:val="22"/>
            <w:szCs w:val="22"/>
          </w:rPr>
          <w:t>https://apastyle.apa.org/instructional-aids/reference-examples.pdf</w:t>
        </w:r>
      </w:hyperlink>
    </w:p>
    <w:p w14:paraId="5192E312"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No footers or headers</w:t>
      </w:r>
    </w:p>
    <w:p w14:paraId="0B1DFEF6"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Tables and notes should be placed at the end of the text and before the bibliographic references.</w:t>
      </w:r>
    </w:p>
    <w:p w14:paraId="18CAE7EE" w14:textId="77777777" w:rsidR="00010BCF" w:rsidRPr="00C419B9" w:rsidRDefault="00010BCF" w:rsidP="007715EE">
      <w:pPr>
        <w:numPr>
          <w:ilvl w:val="0"/>
          <w:numId w:val="3"/>
        </w:numPr>
        <w:spacing w:line="360" w:lineRule="auto"/>
        <w:ind w:left="0" w:firstLine="0"/>
        <w:jc w:val="both"/>
        <w:rPr>
          <w:rFonts w:ascii="Calibri" w:hAnsi="Calibri" w:cs="Calibri"/>
          <w:sz w:val="22"/>
          <w:szCs w:val="22"/>
        </w:rPr>
      </w:pPr>
      <w:r w:rsidRPr="00C419B9">
        <w:rPr>
          <w:rFonts w:ascii="Calibri" w:hAnsi="Calibri" w:cs="Calibri"/>
          <w:sz w:val="22"/>
          <w:szCs w:val="22"/>
        </w:rPr>
        <w:t>Previous published material can be presented.</w:t>
      </w:r>
      <w:bookmarkEnd w:id="0"/>
    </w:p>
    <w:p w14:paraId="7466DCFF" w14:textId="69725E08" w:rsidR="00957CD8" w:rsidRPr="00C419B9" w:rsidRDefault="00D22A1C" w:rsidP="007715EE">
      <w:pPr>
        <w:spacing w:line="360" w:lineRule="auto"/>
        <w:ind w:firstLine="0"/>
        <w:jc w:val="both"/>
        <w:rPr>
          <w:rFonts w:ascii="Calibri" w:hAnsi="Calibri" w:cs="Calibri"/>
          <w:sz w:val="22"/>
          <w:szCs w:val="22"/>
          <w:lang w:val="en-GB"/>
        </w:rPr>
      </w:pPr>
      <w:r w:rsidRPr="00C419B9">
        <w:rPr>
          <w:rFonts w:ascii="Calibri" w:hAnsi="Calibri" w:cs="Calibri"/>
          <w:sz w:val="22"/>
          <w:szCs w:val="22"/>
          <w:lang w:val="en-GB"/>
        </w:rPr>
        <w:t xml:space="preserve">This paper forms part of my </w:t>
      </w:r>
      <w:proofErr w:type="gramStart"/>
      <w:r w:rsidRPr="00C419B9">
        <w:rPr>
          <w:rFonts w:ascii="Calibri" w:hAnsi="Calibri" w:cs="Calibri"/>
          <w:sz w:val="22"/>
          <w:szCs w:val="22"/>
          <w:lang w:val="en-GB"/>
        </w:rPr>
        <w:t>PhD(</w:t>
      </w:r>
      <w:proofErr w:type="gramEnd"/>
      <w:r w:rsidRPr="00C419B9">
        <w:rPr>
          <w:rFonts w:ascii="Calibri" w:hAnsi="Calibri" w:cs="Calibri"/>
          <w:sz w:val="22"/>
          <w:szCs w:val="22"/>
          <w:lang w:val="en-GB"/>
        </w:rPr>
        <w:t>Education) thesis.</w:t>
      </w:r>
    </w:p>
    <w:p w14:paraId="0EA7331E" w14:textId="0032803F" w:rsidR="00D22A1C" w:rsidRPr="00C419B9" w:rsidRDefault="00D22A1C" w:rsidP="007715EE">
      <w:pPr>
        <w:spacing w:line="360" w:lineRule="auto"/>
        <w:ind w:firstLine="0"/>
        <w:jc w:val="both"/>
        <w:rPr>
          <w:rFonts w:ascii="Calibri" w:hAnsi="Calibri" w:cs="Calibri"/>
          <w:sz w:val="22"/>
          <w:szCs w:val="22"/>
          <w:lang w:val="en-GB"/>
        </w:rPr>
      </w:pPr>
      <w:r w:rsidRPr="00C419B9">
        <w:rPr>
          <w:rFonts w:ascii="Calibri" w:hAnsi="Calibri" w:cs="Calibri"/>
          <w:sz w:val="22"/>
          <w:szCs w:val="22"/>
          <w:lang w:val="en-GB"/>
        </w:rPr>
        <w:br w:type="page"/>
      </w:r>
    </w:p>
    <w:p w14:paraId="0C2C6F67" w14:textId="5F3334B9" w:rsidR="00F17101" w:rsidRPr="00C419B9" w:rsidRDefault="00965BB7" w:rsidP="007715EE">
      <w:pPr>
        <w:pStyle w:val="Heading3"/>
        <w:spacing w:before="0" w:after="0" w:line="360" w:lineRule="auto"/>
        <w:ind w:firstLine="0"/>
        <w:jc w:val="both"/>
        <w:rPr>
          <w:rFonts w:ascii="Calibri" w:hAnsi="Calibri" w:cs="Calibri"/>
          <w:bCs/>
          <w:sz w:val="22"/>
          <w:szCs w:val="22"/>
        </w:rPr>
      </w:pPr>
      <w:bookmarkStart w:id="1" w:name="_Hlk199085678"/>
      <w:bookmarkStart w:id="2" w:name="_Chapter_One:_Introduction"/>
      <w:bookmarkStart w:id="3" w:name="_Toc155779296"/>
      <w:bookmarkStart w:id="4" w:name="_Toc188210573"/>
      <w:bookmarkStart w:id="5" w:name="_Toc155779299"/>
      <w:bookmarkStart w:id="6" w:name="_Toc188210577"/>
      <w:bookmarkStart w:id="7" w:name="_Toc155779310"/>
      <w:bookmarkStart w:id="8" w:name="_Hlk170046452"/>
      <w:bookmarkStart w:id="9" w:name="_Hlk75114826"/>
      <w:bookmarkStart w:id="10" w:name="_Toc155779325"/>
      <w:bookmarkEnd w:id="1"/>
      <w:bookmarkEnd w:id="2"/>
      <w:r w:rsidRPr="00C419B9">
        <w:rPr>
          <w:rFonts w:ascii="Calibri" w:hAnsi="Calibri" w:cs="Calibri"/>
          <w:sz w:val="22"/>
          <w:szCs w:val="22"/>
        </w:rPr>
        <w:lastRenderedPageBreak/>
        <w:t>A</w:t>
      </w:r>
      <w:r w:rsidR="00F17101" w:rsidRPr="00C419B9">
        <w:rPr>
          <w:rFonts w:ascii="Calibri" w:hAnsi="Calibri" w:cs="Calibri"/>
          <w:sz w:val="22"/>
          <w:szCs w:val="22"/>
        </w:rPr>
        <w:t>bstract</w:t>
      </w:r>
      <w:bookmarkEnd w:id="3"/>
      <w:bookmarkEnd w:id="4"/>
    </w:p>
    <w:p w14:paraId="1FBA7B97" w14:textId="18511FB8" w:rsidR="00F17101" w:rsidRPr="00C419B9" w:rsidRDefault="00F87485" w:rsidP="007715EE">
      <w:pPr>
        <w:spacing w:line="360" w:lineRule="auto"/>
        <w:ind w:firstLine="0"/>
        <w:jc w:val="both"/>
        <w:rPr>
          <w:rStyle w:val="APAH4Char"/>
          <w:rFonts w:ascii="Calibri" w:hAnsi="Calibri" w:cs="Calibri"/>
          <w:b w:val="0"/>
          <w:bCs/>
          <w:sz w:val="22"/>
          <w:szCs w:val="22"/>
        </w:rPr>
      </w:pPr>
      <w:r w:rsidRPr="00C419B9">
        <w:rPr>
          <w:rFonts w:ascii="Calibri" w:hAnsi="Calibri" w:cs="Calibri"/>
          <w:sz w:val="22"/>
          <w:szCs w:val="22"/>
        </w:rPr>
        <w:t xml:space="preserve">Guiding school students to pursue </w:t>
      </w:r>
      <w:r w:rsidR="00F17101" w:rsidRPr="00C419B9">
        <w:rPr>
          <w:rStyle w:val="APAH4Char"/>
          <w:rFonts w:ascii="Calibri" w:hAnsi="Calibri" w:cs="Calibri"/>
          <w:b w:val="0"/>
          <w:bCs/>
          <w:sz w:val="22"/>
          <w:szCs w:val="22"/>
        </w:rPr>
        <w:t xml:space="preserve">science, technology, engineering and mathematics (STEM) </w:t>
      </w:r>
      <w:r w:rsidR="00FB3DD8" w:rsidRPr="00C419B9">
        <w:rPr>
          <w:rStyle w:val="APAH4Char"/>
          <w:rFonts w:ascii="Calibri" w:hAnsi="Calibri" w:cs="Calibri"/>
          <w:b w:val="0"/>
          <w:bCs/>
          <w:sz w:val="22"/>
          <w:szCs w:val="22"/>
        </w:rPr>
        <w:t xml:space="preserve">careers is </w:t>
      </w:r>
      <w:r w:rsidR="00946A75" w:rsidRPr="00C419B9">
        <w:rPr>
          <w:rStyle w:val="APAH4Char"/>
          <w:rFonts w:ascii="Calibri" w:hAnsi="Calibri" w:cs="Calibri"/>
          <w:b w:val="0"/>
          <w:bCs/>
          <w:sz w:val="22"/>
          <w:szCs w:val="22"/>
        </w:rPr>
        <w:t xml:space="preserve">a priority for </w:t>
      </w:r>
      <w:r w:rsidR="00684175" w:rsidRPr="00C419B9">
        <w:rPr>
          <w:rStyle w:val="APAH4Char"/>
          <w:rFonts w:ascii="Calibri" w:hAnsi="Calibri" w:cs="Calibri"/>
          <w:b w:val="0"/>
          <w:bCs/>
          <w:sz w:val="22"/>
          <w:szCs w:val="22"/>
        </w:rPr>
        <w:t>S</w:t>
      </w:r>
      <w:r w:rsidR="00946A75" w:rsidRPr="00C419B9">
        <w:rPr>
          <w:rStyle w:val="APAH4Char"/>
          <w:rFonts w:ascii="Calibri" w:hAnsi="Calibri" w:cs="Calibri"/>
          <w:b w:val="0"/>
          <w:bCs/>
          <w:sz w:val="22"/>
          <w:szCs w:val="22"/>
        </w:rPr>
        <w:t>ch</w:t>
      </w:r>
      <w:r w:rsidR="00684175" w:rsidRPr="00C419B9">
        <w:rPr>
          <w:rStyle w:val="APAH4Char"/>
          <w:rFonts w:ascii="Calibri" w:hAnsi="Calibri" w:cs="Calibri"/>
          <w:b w:val="0"/>
          <w:bCs/>
          <w:sz w:val="22"/>
          <w:szCs w:val="22"/>
        </w:rPr>
        <w:t>ool Career Development Practitio</w:t>
      </w:r>
      <w:r w:rsidR="00946A75" w:rsidRPr="00C419B9">
        <w:rPr>
          <w:rStyle w:val="APAH4Char"/>
          <w:rFonts w:ascii="Calibri" w:hAnsi="Calibri" w:cs="Calibri"/>
          <w:b w:val="0"/>
          <w:bCs/>
          <w:sz w:val="22"/>
          <w:szCs w:val="22"/>
        </w:rPr>
        <w:t xml:space="preserve">ners (SCDPs). </w:t>
      </w:r>
      <w:r w:rsidR="00F17101" w:rsidRPr="00C419B9">
        <w:rPr>
          <w:rFonts w:ascii="Calibri" w:hAnsi="Calibri" w:cs="Calibri"/>
          <w:sz w:val="22"/>
          <w:szCs w:val="22"/>
        </w:rPr>
        <w:t>Australian government labour market information and the empirical literature indicate a growing number of</w:t>
      </w:r>
      <w:r w:rsidR="00F17101" w:rsidRPr="00C419B9">
        <w:rPr>
          <w:rStyle w:val="APAH4Char"/>
          <w:rFonts w:ascii="Calibri" w:hAnsi="Calibri" w:cs="Calibri"/>
          <w:b w:val="0"/>
          <w:bCs/>
          <w:sz w:val="22"/>
          <w:szCs w:val="22"/>
        </w:rPr>
        <w:t xml:space="preserve"> roles </w:t>
      </w:r>
      <w:r w:rsidR="003471AE" w:rsidRPr="00C419B9">
        <w:rPr>
          <w:rStyle w:val="APAH4Char"/>
          <w:rFonts w:ascii="Calibri" w:hAnsi="Calibri" w:cs="Calibri"/>
          <w:b w:val="0"/>
          <w:bCs/>
          <w:sz w:val="22"/>
          <w:szCs w:val="22"/>
        </w:rPr>
        <w:t xml:space="preserve">in </w:t>
      </w:r>
      <w:r w:rsidR="009F3BED" w:rsidRPr="00C419B9">
        <w:rPr>
          <w:rStyle w:val="APAH4Char"/>
          <w:rFonts w:ascii="Calibri" w:hAnsi="Calibri" w:cs="Calibri"/>
          <w:b w:val="0"/>
          <w:bCs/>
          <w:sz w:val="22"/>
          <w:szCs w:val="22"/>
        </w:rPr>
        <w:t>STEM</w:t>
      </w:r>
      <w:r w:rsidR="003471AE" w:rsidRPr="00C419B9">
        <w:rPr>
          <w:rStyle w:val="APAH4Char"/>
          <w:rFonts w:ascii="Calibri" w:hAnsi="Calibri" w:cs="Calibri"/>
          <w:b w:val="0"/>
          <w:bCs/>
          <w:sz w:val="22"/>
          <w:szCs w:val="22"/>
        </w:rPr>
        <w:t xml:space="preserve"> industries </w:t>
      </w:r>
      <w:r w:rsidR="004F7BD6" w:rsidRPr="00C419B9">
        <w:rPr>
          <w:rStyle w:val="APAH4Char"/>
          <w:rFonts w:ascii="Calibri" w:hAnsi="Calibri" w:cs="Calibri"/>
          <w:b w:val="0"/>
          <w:bCs/>
          <w:sz w:val="22"/>
          <w:szCs w:val="22"/>
        </w:rPr>
        <w:t>to be filled by</w:t>
      </w:r>
      <w:r w:rsidR="00F17101" w:rsidRPr="00C419B9">
        <w:rPr>
          <w:rStyle w:val="APAH4Char"/>
          <w:rFonts w:ascii="Calibri" w:hAnsi="Calibri" w:cs="Calibri"/>
          <w:b w:val="0"/>
          <w:bCs/>
          <w:sz w:val="22"/>
          <w:szCs w:val="22"/>
        </w:rPr>
        <w:t xml:space="preserve"> future employees. Of these STEM careers, many are pursued through obtaining qualifications in the Australian vocational education and training (VET) sector. As there has been an identified need for more students to pursue STEM careers, and maintain their STEM career post-education, the role of the SCDP is vital in ensuring that students are well-prepared for undertaking STEM careers</w:t>
      </w:r>
      <w:r w:rsidR="003C7985" w:rsidRPr="00C419B9">
        <w:rPr>
          <w:rStyle w:val="APAH4Char"/>
          <w:rFonts w:ascii="Calibri" w:hAnsi="Calibri" w:cs="Calibri"/>
          <w:b w:val="0"/>
          <w:bCs/>
          <w:sz w:val="22"/>
          <w:szCs w:val="22"/>
        </w:rPr>
        <w:t xml:space="preserve"> through the VET sector</w:t>
      </w:r>
      <w:r w:rsidR="00F17101" w:rsidRPr="00C419B9">
        <w:rPr>
          <w:rStyle w:val="APAH4Char"/>
          <w:rFonts w:ascii="Calibri" w:hAnsi="Calibri" w:cs="Calibri"/>
          <w:b w:val="0"/>
          <w:bCs/>
          <w:sz w:val="22"/>
          <w:szCs w:val="22"/>
        </w:rPr>
        <w:t xml:space="preserve">. The researcher explored </w:t>
      </w:r>
      <w:r w:rsidR="00003416" w:rsidRPr="00C419B9">
        <w:rPr>
          <w:rStyle w:val="APAH4Char"/>
          <w:rFonts w:ascii="Calibri" w:hAnsi="Calibri" w:cs="Calibri"/>
          <w:b w:val="0"/>
          <w:bCs/>
          <w:sz w:val="22"/>
          <w:szCs w:val="22"/>
        </w:rPr>
        <w:t xml:space="preserve">how </w:t>
      </w:r>
      <w:r w:rsidR="00F17101" w:rsidRPr="00C419B9">
        <w:rPr>
          <w:rStyle w:val="APAH4Char"/>
          <w:rFonts w:ascii="Calibri" w:hAnsi="Calibri" w:cs="Calibri"/>
          <w:b w:val="0"/>
          <w:bCs/>
          <w:sz w:val="22"/>
          <w:szCs w:val="22"/>
        </w:rPr>
        <w:t>the SCDP role</w:t>
      </w:r>
      <w:r w:rsidR="0026261B" w:rsidRPr="00C419B9">
        <w:rPr>
          <w:rStyle w:val="APAH4Char"/>
          <w:rFonts w:ascii="Calibri" w:hAnsi="Calibri" w:cs="Calibri"/>
          <w:b w:val="0"/>
          <w:bCs/>
          <w:sz w:val="22"/>
          <w:szCs w:val="22"/>
        </w:rPr>
        <w:t xml:space="preserve"> provides</w:t>
      </w:r>
      <w:r w:rsidR="00F17101" w:rsidRPr="00C419B9">
        <w:rPr>
          <w:rStyle w:val="APAH4Char"/>
          <w:rFonts w:ascii="Calibri" w:hAnsi="Calibri" w:cs="Calibri"/>
          <w:b w:val="0"/>
          <w:bCs/>
          <w:sz w:val="22"/>
          <w:szCs w:val="22"/>
        </w:rPr>
        <w:t xml:space="preserve"> this career guidance, and the challenges faced by the SCDP. </w:t>
      </w:r>
      <w:r w:rsidR="00AB2742" w:rsidRPr="00C419B9">
        <w:rPr>
          <w:rStyle w:val="APAH4Char"/>
          <w:rFonts w:ascii="Calibri" w:hAnsi="Calibri" w:cs="Calibri"/>
          <w:b w:val="0"/>
          <w:bCs/>
          <w:sz w:val="22"/>
          <w:szCs w:val="22"/>
        </w:rPr>
        <w:t>The SCDPs’ experiences working within the VET sector, and knowledge of the VET sector</w:t>
      </w:r>
      <w:r w:rsidR="00A26D4A" w:rsidRPr="00C419B9">
        <w:rPr>
          <w:rStyle w:val="APAH4Char"/>
          <w:rFonts w:ascii="Calibri" w:hAnsi="Calibri" w:cs="Calibri"/>
          <w:b w:val="0"/>
          <w:bCs/>
          <w:sz w:val="22"/>
          <w:szCs w:val="22"/>
        </w:rPr>
        <w:t xml:space="preserve">, contributed strongly to the quality of career guidance provided to school students. </w:t>
      </w:r>
      <w:r w:rsidR="00F17101" w:rsidRPr="00C419B9">
        <w:rPr>
          <w:rStyle w:val="APAH4Char"/>
          <w:rFonts w:ascii="Calibri" w:hAnsi="Calibri" w:cs="Calibri"/>
          <w:b w:val="0"/>
          <w:bCs/>
          <w:sz w:val="22"/>
          <w:szCs w:val="22"/>
        </w:rPr>
        <w:t>Career adaptability of the SCDPs was investigated, which is one psychosocial construct that affects the provision of career guidance. The researcher also investigated the sociocultural influences impacting the career adaptability of SCDPs. These sociocultural influences provided a current perspective to determine how SCDPs contribute to the career guidance provision of STEM careers</w:t>
      </w:r>
      <w:r w:rsidR="00D5091E" w:rsidRPr="00C419B9">
        <w:rPr>
          <w:rStyle w:val="APAH4Char"/>
          <w:rFonts w:ascii="Calibri" w:hAnsi="Calibri" w:cs="Calibri"/>
          <w:b w:val="0"/>
          <w:bCs/>
          <w:sz w:val="22"/>
          <w:szCs w:val="22"/>
        </w:rPr>
        <w:t xml:space="preserve"> through the VET sector</w:t>
      </w:r>
      <w:r w:rsidR="00F17101" w:rsidRPr="00C419B9">
        <w:rPr>
          <w:rStyle w:val="APAH4Char"/>
          <w:rFonts w:ascii="Calibri" w:hAnsi="Calibri" w:cs="Calibri"/>
          <w:b w:val="0"/>
          <w:bCs/>
          <w:sz w:val="22"/>
          <w:szCs w:val="22"/>
        </w:rPr>
        <w:t>. The researcher investigated the kinds of capabilities associated with career adaptability that are required to support students. This approach adopted to frame the analysis is Career Construction Theory, with an exploration into how SCDPs construct their understanding of their roles as practitioners, and guide their students’ decision making. Career construction theory has been drawn upon to investigate the micro and macro factors impacting on the resources available to SCDPs to perform their duties. In order to support school students when pursuing VET STEM careers, and in order to reduce attrition and to increase retention in STEM careers</w:t>
      </w:r>
      <w:r w:rsidR="00955506" w:rsidRPr="00C419B9">
        <w:rPr>
          <w:rStyle w:val="APAH4Char"/>
          <w:rFonts w:ascii="Calibri" w:hAnsi="Calibri" w:cs="Calibri"/>
          <w:b w:val="0"/>
          <w:bCs/>
          <w:sz w:val="22"/>
          <w:szCs w:val="22"/>
        </w:rPr>
        <w:t xml:space="preserve"> </w:t>
      </w:r>
      <w:r w:rsidR="007232C8" w:rsidRPr="00C419B9">
        <w:rPr>
          <w:rStyle w:val="APAH4Char"/>
          <w:rFonts w:ascii="Calibri" w:hAnsi="Calibri" w:cs="Calibri"/>
          <w:b w:val="0"/>
          <w:bCs/>
          <w:noProof/>
          <w:sz w:val="22"/>
          <w:szCs w:val="22"/>
        </w:rPr>
        <w:t>(Lexis et al., 2021)</w:t>
      </w:r>
      <w:r w:rsidR="00F17101" w:rsidRPr="00C419B9">
        <w:rPr>
          <w:rStyle w:val="APAH4Char"/>
          <w:rFonts w:ascii="Calibri" w:hAnsi="Calibri" w:cs="Calibri"/>
          <w:b w:val="0"/>
          <w:bCs/>
          <w:sz w:val="22"/>
          <w:szCs w:val="22"/>
        </w:rPr>
        <w:t xml:space="preserve">, </w:t>
      </w:r>
      <w:r w:rsidR="001E6AEB" w:rsidRPr="00C419B9">
        <w:rPr>
          <w:rStyle w:val="APAH4Char"/>
          <w:rFonts w:ascii="Calibri" w:hAnsi="Calibri" w:cs="Calibri"/>
          <w:b w:val="0"/>
          <w:bCs/>
          <w:sz w:val="22"/>
          <w:szCs w:val="22"/>
        </w:rPr>
        <w:t>the researcher</w:t>
      </w:r>
      <w:r w:rsidR="00F17101" w:rsidRPr="00C419B9">
        <w:rPr>
          <w:rStyle w:val="APAH4Char"/>
          <w:rFonts w:ascii="Calibri" w:hAnsi="Calibri" w:cs="Calibri"/>
          <w:b w:val="0"/>
          <w:bCs/>
          <w:sz w:val="22"/>
          <w:szCs w:val="22"/>
        </w:rPr>
        <w:t xml:space="preserve"> investigated the ways in which SCDPs adapt to challenges in the role. A convergent parallel mixed methods research design was used to collect qualitative and quantitative data from the research participants aiming to investigate the SCDP’s career adaptability. Of the Australian SCDP population (N</w:t>
      </w:r>
      <w:r w:rsidR="00F17101" w:rsidRPr="00C419B9">
        <w:rPr>
          <w:rStyle w:val="APAH4Char"/>
          <w:rFonts w:ascii="Cambria Math" w:hAnsi="Cambria Math" w:cs="Cambria Math"/>
          <w:b w:val="0"/>
          <w:bCs/>
          <w:sz w:val="22"/>
          <w:szCs w:val="22"/>
        </w:rPr>
        <w:t>≅</w:t>
      </w:r>
      <w:r w:rsidR="00F17101" w:rsidRPr="00C419B9">
        <w:rPr>
          <w:rStyle w:val="APAH4Char"/>
          <w:rFonts w:ascii="Calibri" w:hAnsi="Calibri" w:cs="Calibri"/>
          <w:b w:val="0"/>
          <w:bCs/>
          <w:sz w:val="22"/>
          <w:szCs w:val="22"/>
        </w:rPr>
        <w:t xml:space="preserve"> 5,000), SCDPs were invited (n</w:t>
      </w:r>
      <w:r w:rsidR="00F17101" w:rsidRPr="00C419B9">
        <w:rPr>
          <w:rStyle w:val="APAH4Char"/>
          <w:rFonts w:ascii="Cambria Math" w:hAnsi="Cambria Math" w:cs="Cambria Math"/>
          <w:b w:val="0"/>
          <w:bCs/>
          <w:sz w:val="22"/>
          <w:szCs w:val="22"/>
        </w:rPr>
        <w:t>≅</w:t>
      </w:r>
      <w:r w:rsidR="00F17101" w:rsidRPr="00C419B9">
        <w:rPr>
          <w:rStyle w:val="APAH4Char"/>
          <w:rFonts w:ascii="Calibri" w:hAnsi="Calibri" w:cs="Calibri"/>
          <w:b w:val="0"/>
          <w:bCs/>
          <w:sz w:val="22"/>
          <w:szCs w:val="22"/>
        </w:rPr>
        <w:t xml:space="preserve"> 1,000) to participate in a survey (n=177), and interview (n=9) to determine how their career adaptability influences their career guidance. Descriptive statistics were also used to analyse the data sample. The qualitative data was analysed thematically, identifying both the psychosocial and sociocultural influences on the SCDPs’ career adaptability. The findings from the present study offer theoretical and practical implications, recommending strategies to enhance SCDPs’ roles in supporting students pursuing STEM careers through a VET pathway. The findings indicate that the SCDPs’ career adaptability significantly affects their ability to provide career guidance, thereby helping to build a future balanced STEM workforce in Australia.</w:t>
      </w:r>
      <w:r w:rsidR="00BF145A" w:rsidRPr="00C419B9">
        <w:rPr>
          <w:rStyle w:val="APAH4Char"/>
          <w:rFonts w:ascii="Calibri" w:hAnsi="Calibri" w:cs="Calibri"/>
          <w:b w:val="0"/>
          <w:bCs/>
          <w:sz w:val="22"/>
          <w:szCs w:val="22"/>
        </w:rPr>
        <w:t xml:space="preserve"> It was identified that the SCDPs’ </w:t>
      </w:r>
      <w:r w:rsidR="00BF145A" w:rsidRPr="00C419B9">
        <w:rPr>
          <w:rStyle w:val="APAH4Char"/>
          <w:rFonts w:ascii="Calibri" w:hAnsi="Calibri" w:cs="Calibri"/>
          <w:b w:val="0"/>
          <w:bCs/>
          <w:sz w:val="22"/>
          <w:szCs w:val="22"/>
        </w:rPr>
        <w:lastRenderedPageBreak/>
        <w:t>experiences working within the VET sector greatly affected the career guidance provided to students pursuing VET STEM careers</w:t>
      </w:r>
      <w:r w:rsidR="00B961F8" w:rsidRPr="00C419B9">
        <w:rPr>
          <w:rStyle w:val="APAH4Char"/>
          <w:rFonts w:ascii="Calibri" w:hAnsi="Calibri" w:cs="Calibri"/>
          <w:b w:val="0"/>
          <w:bCs/>
          <w:sz w:val="22"/>
          <w:szCs w:val="22"/>
        </w:rPr>
        <w:t>.</w:t>
      </w:r>
      <w:r w:rsidR="00BF145A" w:rsidRPr="00C419B9">
        <w:rPr>
          <w:rStyle w:val="APAH4Char"/>
          <w:rFonts w:ascii="Calibri" w:hAnsi="Calibri" w:cs="Calibri"/>
          <w:b w:val="0"/>
          <w:bCs/>
          <w:sz w:val="22"/>
          <w:szCs w:val="22"/>
        </w:rPr>
        <w:t xml:space="preserve"> </w:t>
      </w:r>
    </w:p>
    <w:p w14:paraId="5BA69CFF" w14:textId="77777777" w:rsidR="00542B2E" w:rsidRPr="00C419B9" w:rsidRDefault="00F17101" w:rsidP="007715EE">
      <w:pPr>
        <w:pStyle w:val="Heading3"/>
        <w:spacing w:before="0" w:after="0" w:line="360" w:lineRule="auto"/>
        <w:ind w:firstLine="0"/>
        <w:jc w:val="both"/>
        <w:rPr>
          <w:rFonts w:ascii="Calibri" w:hAnsi="Calibri" w:cs="Calibri"/>
          <w:sz w:val="22"/>
          <w:szCs w:val="22"/>
        </w:rPr>
      </w:pPr>
      <w:r w:rsidRPr="00C419B9">
        <w:rPr>
          <w:rFonts w:ascii="Calibri" w:hAnsi="Calibri" w:cs="Calibri"/>
          <w:sz w:val="22"/>
          <w:szCs w:val="22"/>
        </w:rPr>
        <w:t xml:space="preserve">Keywords: </w:t>
      </w:r>
    </w:p>
    <w:p w14:paraId="4510F42C" w14:textId="6C403CD1" w:rsidR="00D86E77"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STEM, career, Schoo</w:t>
      </w:r>
      <w:r w:rsidR="00900AF1" w:rsidRPr="00C419B9">
        <w:rPr>
          <w:rFonts w:ascii="Calibri" w:hAnsi="Calibri" w:cs="Calibri"/>
          <w:sz w:val="22"/>
          <w:szCs w:val="22"/>
        </w:rPr>
        <w:t>l Career Development Practitioner</w:t>
      </w:r>
      <w:r w:rsidRPr="00C419B9">
        <w:rPr>
          <w:rFonts w:ascii="Calibri" w:hAnsi="Calibri" w:cs="Calibri"/>
          <w:sz w:val="22"/>
          <w:szCs w:val="22"/>
        </w:rPr>
        <w:t>, career adaptability, VET</w:t>
      </w:r>
    </w:p>
    <w:bookmarkEnd w:id="5"/>
    <w:bookmarkEnd w:id="6"/>
    <w:p w14:paraId="141213D4" w14:textId="364E6F59" w:rsidR="00AE1227" w:rsidRPr="00C419B9" w:rsidRDefault="00AE1227" w:rsidP="007715EE">
      <w:pPr>
        <w:pStyle w:val="Heading2"/>
        <w:spacing w:before="0" w:after="0" w:line="360" w:lineRule="auto"/>
        <w:ind w:firstLine="0"/>
        <w:jc w:val="both"/>
        <w:rPr>
          <w:rFonts w:ascii="Calibri" w:hAnsi="Calibri" w:cs="Calibri"/>
          <w:sz w:val="22"/>
          <w:szCs w:val="22"/>
        </w:rPr>
      </w:pPr>
      <w:r w:rsidRPr="00C419B9">
        <w:rPr>
          <w:rFonts w:ascii="Calibri" w:hAnsi="Calibri" w:cs="Calibri"/>
          <w:sz w:val="22"/>
          <w:szCs w:val="22"/>
        </w:rPr>
        <w:t>Introduction</w:t>
      </w:r>
    </w:p>
    <w:p w14:paraId="0AF4BE5B" w14:textId="2D628CC6"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Since the late 19th century, vocational psychologists have investigated how the relationship between people and the workforce has changed </w:t>
      </w:r>
      <w:r w:rsidR="007232C8" w:rsidRPr="00C419B9">
        <w:rPr>
          <w:rFonts w:ascii="Calibri" w:hAnsi="Calibri" w:cs="Calibri"/>
          <w:noProof/>
          <w:sz w:val="22"/>
          <w:szCs w:val="22"/>
        </w:rPr>
        <w:t>(Hirschi, 2018)</w:t>
      </w:r>
      <w:r w:rsidRPr="00C419B9">
        <w:rPr>
          <w:rFonts w:ascii="Calibri" w:hAnsi="Calibri" w:cs="Calibri"/>
          <w:sz w:val="22"/>
          <w:szCs w:val="22"/>
        </w:rPr>
        <w:t>. The academic literature</w:t>
      </w:r>
      <w:r w:rsidR="000927F3" w:rsidRPr="00C419B9">
        <w:rPr>
          <w:rFonts w:ascii="Calibri" w:hAnsi="Calibri" w:cs="Calibri"/>
          <w:sz w:val="22"/>
          <w:szCs w:val="22"/>
        </w:rPr>
        <w:t xml:space="preserve"> </w:t>
      </w:r>
      <w:r w:rsidR="007232C8" w:rsidRPr="00C419B9">
        <w:rPr>
          <w:rFonts w:ascii="Calibri" w:hAnsi="Calibri" w:cs="Calibri"/>
          <w:noProof/>
          <w:sz w:val="22"/>
          <w:szCs w:val="22"/>
        </w:rPr>
        <w:t>(McKinnon, 2020; Murcia et al., 2020)</w:t>
      </w:r>
      <w:r w:rsidRPr="00C419B9">
        <w:rPr>
          <w:rFonts w:ascii="Calibri" w:hAnsi="Calibri" w:cs="Calibri"/>
          <w:sz w:val="22"/>
          <w:szCs w:val="22"/>
        </w:rPr>
        <w:t xml:space="preserve">, and government policy </w:t>
      </w:r>
      <w:r w:rsidR="007232C8" w:rsidRPr="00C419B9">
        <w:rPr>
          <w:rFonts w:ascii="Calibri" w:hAnsi="Calibri" w:cs="Calibri"/>
          <w:noProof/>
          <w:sz w:val="22"/>
          <w:szCs w:val="22"/>
        </w:rPr>
        <w:t>(Australian Government, 2023)</w:t>
      </w:r>
      <w:r w:rsidRPr="00C419B9">
        <w:rPr>
          <w:rFonts w:ascii="Calibri" w:hAnsi="Calibri" w:cs="Calibri"/>
          <w:sz w:val="22"/>
          <w:szCs w:val="22"/>
        </w:rPr>
        <w:t xml:space="preserve"> have identified current and future skills shortages, and the requirement for more students pursuing STEM careers has been identified as a priority </w:t>
      </w:r>
      <w:r w:rsidR="007232C8" w:rsidRPr="00C419B9">
        <w:rPr>
          <w:rFonts w:ascii="Calibri" w:hAnsi="Calibri" w:cs="Calibri"/>
          <w:noProof/>
          <w:sz w:val="22"/>
          <w:szCs w:val="22"/>
        </w:rPr>
        <w:t>(Toh &amp; Watt, 2022)</w:t>
      </w:r>
      <w:r w:rsidRPr="00C419B9">
        <w:rPr>
          <w:rFonts w:ascii="Calibri" w:hAnsi="Calibri" w:cs="Calibri"/>
          <w:sz w:val="22"/>
          <w:szCs w:val="22"/>
        </w:rPr>
        <w:t xml:space="preserve">. Encouraging school students to undertake trade qualifications in the VET sector to progress their STEM careers, is one strategy to address the skills shortage in the trade careers </w:t>
      </w:r>
      <w:r w:rsidR="007232C8" w:rsidRPr="00C419B9">
        <w:rPr>
          <w:rFonts w:ascii="Calibri" w:hAnsi="Calibri" w:cs="Calibri"/>
          <w:noProof/>
          <w:sz w:val="22"/>
          <w:szCs w:val="22"/>
        </w:rPr>
        <w:t>(Misko et al., 2021)</w:t>
      </w:r>
      <w:r w:rsidRPr="00C419B9">
        <w:rPr>
          <w:rFonts w:ascii="Calibri" w:hAnsi="Calibri" w:cs="Calibri"/>
          <w:sz w:val="22"/>
          <w:szCs w:val="22"/>
        </w:rPr>
        <w:t xml:space="preserve">. </w:t>
      </w:r>
    </w:p>
    <w:p w14:paraId="6A3752A4" w14:textId="651A3589"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When school students are planning their careers, their SCDP provides career guidance to enable the development of career agency for the student. As SCDPs guide students to learn about career pathways and options, students construct their own meaning through interactions with SCDPs, but also peers, parents, and teachers, and potentially other sources such as the media. Career education is a part of school curriculum, with the intention of developing lifelong learners. </w:t>
      </w:r>
    </w:p>
    <w:p w14:paraId="676A5683" w14:textId="08EDF89B"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The value of quality career guidance is dependent upon many factors. For students pursuing careers in STEM roles</w:t>
      </w:r>
      <w:r w:rsidR="00F14999" w:rsidRPr="00C419B9">
        <w:rPr>
          <w:rFonts w:ascii="Calibri" w:hAnsi="Calibri" w:cs="Calibri"/>
          <w:sz w:val="22"/>
          <w:szCs w:val="22"/>
        </w:rPr>
        <w:t xml:space="preserve"> through a VET pathway</w:t>
      </w:r>
      <w:r w:rsidRPr="00C419B9">
        <w:rPr>
          <w:rFonts w:ascii="Calibri" w:hAnsi="Calibri" w:cs="Calibri"/>
          <w:sz w:val="22"/>
          <w:szCs w:val="22"/>
        </w:rPr>
        <w:t>, the career guidance provided influences this decision-making and it is acknowledged that this career guidance is constructed in a social context. The research participants’ (SCDPs) career adaptability was investigated to determine how the SCDPs’ own career adaptability may impact the way in which they provide career guidance</w:t>
      </w:r>
      <w:r w:rsidR="00AE5392" w:rsidRPr="00C419B9">
        <w:rPr>
          <w:rFonts w:ascii="Calibri" w:hAnsi="Calibri" w:cs="Calibri"/>
          <w:sz w:val="22"/>
          <w:szCs w:val="22"/>
        </w:rPr>
        <w:t xml:space="preserve"> to school students pursuing careers through a VET pathway</w:t>
      </w:r>
      <w:r w:rsidRPr="00C419B9">
        <w:rPr>
          <w:rFonts w:ascii="Calibri" w:hAnsi="Calibri" w:cs="Calibri"/>
          <w:sz w:val="22"/>
          <w:szCs w:val="22"/>
        </w:rPr>
        <w:t xml:space="preserve">. Career adaptability is used to understand the impact that SCDPs have on providing career guidance to students pursuing VET STEM careers and the importance of adapting to context-specific demands is discussed in the findings. </w:t>
      </w:r>
    </w:p>
    <w:p w14:paraId="7585BFDF" w14:textId="3A79CBA3"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Drawing from Career Construction Theory</w:t>
      </w:r>
      <w:r w:rsidR="00111DEF" w:rsidRPr="00C419B9">
        <w:rPr>
          <w:rFonts w:ascii="Calibri" w:hAnsi="Calibri" w:cs="Calibri"/>
          <w:sz w:val="22"/>
          <w:szCs w:val="22"/>
        </w:rPr>
        <w:t xml:space="preserve"> </w:t>
      </w:r>
      <w:r w:rsidR="007232C8" w:rsidRPr="00C419B9">
        <w:rPr>
          <w:rFonts w:ascii="Calibri" w:hAnsi="Calibri" w:cs="Calibri"/>
          <w:noProof/>
          <w:sz w:val="22"/>
          <w:szCs w:val="22"/>
        </w:rPr>
        <w:t>(Savickas, 2002, 2013)</w:t>
      </w:r>
      <w:r w:rsidRPr="00C419B9">
        <w:rPr>
          <w:rFonts w:ascii="Calibri" w:hAnsi="Calibri" w:cs="Calibri"/>
          <w:sz w:val="22"/>
          <w:szCs w:val="22"/>
        </w:rPr>
        <w:t xml:space="preserve"> , </w:t>
      </w:r>
      <w:r w:rsidR="005449B3" w:rsidRPr="00C419B9">
        <w:rPr>
          <w:rFonts w:ascii="Calibri" w:hAnsi="Calibri" w:cs="Calibri"/>
          <w:sz w:val="22"/>
          <w:szCs w:val="22"/>
        </w:rPr>
        <w:t>the researcher</w:t>
      </w:r>
      <w:r w:rsidRPr="00C419B9">
        <w:rPr>
          <w:rFonts w:ascii="Calibri" w:hAnsi="Calibri" w:cs="Calibri"/>
          <w:sz w:val="22"/>
          <w:szCs w:val="22"/>
        </w:rPr>
        <w:t xml:space="preserve"> conducted the present study to allow key stakeholders to take a more targeted approach to enhance the SCDP role. To support the SCDPs with guiding the diverse needs associated with students undertaking a VET STEM pathway, recognising the value of the SCDP role is one strategy to provide a future workforce that meets Australia’s demand for STEM careers. </w:t>
      </w:r>
      <w:r w:rsidRPr="00C419B9">
        <w:rPr>
          <w:rFonts w:ascii="Calibri" w:hAnsi="Calibri" w:cs="Calibri"/>
          <w:sz w:val="22"/>
          <w:szCs w:val="22"/>
          <w:lang w:val="en-GB"/>
        </w:rPr>
        <w:t>Th</w:t>
      </w:r>
      <w:r w:rsidR="00694008" w:rsidRPr="00C419B9">
        <w:rPr>
          <w:rFonts w:ascii="Calibri" w:hAnsi="Calibri" w:cs="Calibri"/>
          <w:sz w:val="22"/>
          <w:szCs w:val="22"/>
          <w:lang w:val="en-GB"/>
        </w:rPr>
        <w:t>is paper identifies the challenges faced by SCDPs that specifically relate to the VET sector.</w:t>
      </w:r>
    </w:p>
    <w:p w14:paraId="42796022" w14:textId="34545356" w:rsidR="004E1C69" w:rsidRPr="00C419B9" w:rsidRDefault="004E1C69" w:rsidP="007715EE">
      <w:pPr>
        <w:pStyle w:val="Heading2"/>
        <w:spacing w:before="0" w:after="0" w:line="360" w:lineRule="auto"/>
        <w:ind w:firstLine="0"/>
        <w:jc w:val="both"/>
        <w:rPr>
          <w:rFonts w:ascii="Calibri" w:hAnsi="Calibri" w:cs="Calibri"/>
          <w:sz w:val="22"/>
          <w:szCs w:val="22"/>
        </w:rPr>
      </w:pPr>
      <w:bookmarkStart w:id="11" w:name="_Statement_of_the"/>
      <w:bookmarkStart w:id="12" w:name="_Research_Outline"/>
      <w:bookmarkStart w:id="13" w:name="_Hlk42777939"/>
      <w:bookmarkStart w:id="14" w:name="_Toc155779302"/>
      <w:bookmarkStart w:id="15" w:name="_Toc188210580"/>
      <w:bookmarkEnd w:id="11"/>
      <w:bookmarkEnd w:id="12"/>
      <w:r w:rsidRPr="00C419B9">
        <w:rPr>
          <w:rFonts w:ascii="Calibri" w:hAnsi="Calibri" w:cs="Calibri"/>
          <w:sz w:val="22"/>
          <w:szCs w:val="22"/>
        </w:rPr>
        <w:t>Objectives</w:t>
      </w:r>
    </w:p>
    <w:p w14:paraId="4EE44D3C" w14:textId="66469A1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As the Fourth Industrial Revolution 4.0 era </w:t>
      </w:r>
      <w:r w:rsidR="007232C8" w:rsidRPr="00C419B9">
        <w:rPr>
          <w:rFonts w:ascii="Calibri" w:hAnsi="Calibri" w:cs="Calibri"/>
          <w:noProof/>
          <w:sz w:val="22"/>
          <w:szCs w:val="22"/>
        </w:rPr>
        <w:t>(Nankervis et al., 2021; Siregar et al., 2023)</w:t>
      </w:r>
      <w:r w:rsidRPr="00C419B9">
        <w:rPr>
          <w:rFonts w:ascii="Calibri" w:hAnsi="Calibri" w:cs="Calibri"/>
          <w:sz w:val="22"/>
          <w:szCs w:val="22"/>
        </w:rPr>
        <w:t xml:space="preserve"> progresses, vocational psychology literature has highlighted Australia’s current and future skills shortages in STEM</w:t>
      </w:r>
      <w:bookmarkEnd w:id="13"/>
      <w:r w:rsidRPr="00C419B9">
        <w:rPr>
          <w:rFonts w:ascii="Calibri" w:hAnsi="Calibri" w:cs="Calibri"/>
          <w:sz w:val="22"/>
          <w:szCs w:val="22"/>
        </w:rPr>
        <w:t xml:space="preserve"> </w:t>
      </w:r>
      <w:r w:rsidRPr="00C419B9">
        <w:rPr>
          <w:rFonts w:ascii="Calibri" w:hAnsi="Calibri" w:cs="Calibri"/>
          <w:sz w:val="22"/>
          <w:szCs w:val="22"/>
        </w:rPr>
        <w:lastRenderedPageBreak/>
        <w:t xml:space="preserve">occupations. International demand for many STEM occupations is increasing, and Australia requires more students to pursue STEM careers to meet this demand. However, enrolments in STEM programs within both the VET and higher education sectors have been decreasing </w:t>
      </w:r>
      <w:r w:rsidR="007232C8" w:rsidRPr="00C419B9">
        <w:rPr>
          <w:rFonts w:ascii="Calibri" w:hAnsi="Calibri" w:cs="Calibri"/>
          <w:noProof/>
          <w:sz w:val="22"/>
          <w:szCs w:val="22"/>
        </w:rPr>
        <w:t>(Bennett et al., 2021)</w:t>
      </w:r>
      <w:r w:rsidRPr="00C419B9">
        <w:rPr>
          <w:rFonts w:ascii="Calibri" w:hAnsi="Calibri" w:cs="Calibri"/>
          <w:sz w:val="22"/>
          <w:szCs w:val="22"/>
        </w:rPr>
        <w:t xml:space="preserve">. Additionally, interest in selecting mathematics and science subjects in school has declined </w:t>
      </w:r>
      <w:r w:rsidR="007232C8" w:rsidRPr="00C419B9">
        <w:rPr>
          <w:rFonts w:ascii="Calibri" w:hAnsi="Calibri" w:cs="Calibri"/>
          <w:noProof/>
          <w:sz w:val="22"/>
          <w:szCs w:val="22"/>
        </w:rPr>
        <w:t>(Blotnicky et al., 2018; Franz-Odendaal et al., 2020)</w:t>
      </w:r>
      <w:r w:rsidRPr="00C419B9">
        <w:rPr>
          <w:rFonts w:ascii="Calibri" w:hAnsi="Calibri" w:cs="Calibri"/>
          <w:sz w:val="22"/>
          <w:szCs w:val="22"/>
        </w:rPr>
        <w:t xml:space="preserve">. New STEM roles are emerging daily </w:t>
      </w:r>
      <w:r w:rsidR="007232C8" w:rsidRPr="00C419B9">
        <w:rPr>
          <w:rFonts w:ascii="Calibri" w:hAnsi="Calibri" w:cs="Calibri"/>
          <w:noProof/>
          <w:sz w:val="22"/>
          <w:szCs w:val="22"/>
        </w:rPr>
        <w:t>(Xu et al., 2022)</w:t>
      </w:r>
      <w:r w:rsidRPr="00C419B9">
        <w:rPr>
          <w:rFonts w:ascii="Calibri" w:hAnsi="Calibri" w:cs="Calibri"/>
          <w:sz w:val="22"/>
          <w:szCs w:val="22"/>
        </w:rPr>
        <w:t>, with future projections indicating a higher demand for positions than the current supply</w:t>
      </w:r>
      <w:r w:rsidR="003072F0" w:rsidRPr="00C419B9">
        <w:rPr>
          <w:rFonts w:ascii="Calibri" w:hAnsi="Calibri" w:cs="Calibri"/>
          <w:sz w:val="22"/>
          <w:szCs w:val="22"/>
        </w:rPr>
        <w:t xml:space="preserve"> </w:t>
      </w:r>
      <w:r w:rsidR="007232C8" w:rsidRPr="00C419B9">
        <w:rPr>
          <w:rFonts w:ascii="Calibri" w:hAnsi="Calibri" w:cs="Calibri"/>
          <w:noProof/>
          <w:sz w:val="22"/>
          <w:szCs w:val="22"/>
        </w:rPr>
        <w:t>(Nankervis et al., 2021)</w:t>
      </w:r>
      <w:r w:rsidRPr="00C419B9">
        <w:rPr>
          <w:rFonts w:ascii="Calibri" w:hAnsi="Calibri" w:cs="Calibri"/>
          <w:sz w:val="22"/>
          <w:szCs w:val="22"/>
        </w:rPr>
        <w:t>, particularly for the supply of apprentices</w:t>
      </w:r>
      <w:r w:rsidR="00E76F9A" w:rsidRPr="00C419B9">
        <w:rPr>
          <w:rFonts w:ascii="Calibri" w:hAnsi="Calibri" w:cs="Calibri"/>
          <w:sz w:val="22"/>
          <w:szCs w:val="22"/>
        </w:rPr>
        <w:t xml:space="preserve"> </w:t>
      </w:r>
      <w:r w:rsidR="007232C8" w:rsidRPr="00C419B9">
        <w:rPr>
          <w:rFonts w:ascii="Calibri" w:hAnsi="Calibri" w:cs="Calibri"/>
          <w:noProof/>
          <w:sz w:val="22"/>
          <w:szCs w:val="22"/>
        </w:rPr>
        <w:t>(Powers, 2020; Puslednik &amp; Brennan, 2020)</w:t>
      </w:r>
      <w:r w:rsidRPr="00C419B9">
        <w:rPr>
          <w:rFonts w:ascii="Calibri" w:hAnsi="Calibri" w:cs="Calibri"/>
          <w:sz w:val="22"/>
          <w:szCs w:val="22"/>
        </w:rPr>
        <w:t xml:space="preserve">. </w:t>
      </w:r>
    </w:p>
    <w:p w14:paraId="01E5BB8A" w14:textId="30C0F807" w:rsidR="00F17101" w:rsidRPr="00C419B9" w:rsidRDefault="00904AAB" w:rsidP="007715EE">
      <w:pPr>
        <w:spacing w:line="360" w:lineRule="auto"/>
        <w:ind w:firstLine="0"/>
        <w:jc w:val="both"/>
        <w:rPr>
          <w:rFonts w:ascii="Calibri" w:hAnsi="Calibri" w:cs="Calibri"/>
          <w:sz w:val="22"/>
          <w:szCs w:val="22"/>
        </w:rPr>
      </w:pPr>
      <w:bookmarkStart w:id="16" w:name="_1.4.b._Topic/Purpose._Whilst"/>
      <w:bookmarkEnd w:id="16"/>
      <w:r w:rsidRPr="00C419B9">
        <w:rPr>
          <w:rStyle w:val="Heading4Char"/>
          <w:rFonts w:ascii="Calibri" w:hAnsi="Calibri" w:cs="Calibri"/>
          <w:b/>
          <w:bCs/>
          <w:sz w:val="22"/>
          <w:szCs w:val="22"/>
        </w:rPr>
        <w:t>SCDPs in Australian Schools</w:t>
      </w:r>
      <w:r w:rsidR="00F17101" w:rsidRPr="00C419B9">
        <w:rPr>
          <w:rStyle w:val="Heading4Char"/>
          <w:rFonts w:ascii="Calibri" w:hAnsi="Calibri" w:cs="Calibri"/>
          <w:b/>
          <w:bCs/>
          <w:sz w:val="22"/>
          <w:szCs w:val="22"/>
        </w:rPr>
        <w:t>.</w:t>
      </w:r>
      <w:r w:rsidR="00F17101" w:rsidRPr="00C419B9">
        <w:rPr>
          <w:rFonts w:ascii="Calibri" w:hAnsi="Calibri" w:cs="Calibri"/>
          <w:b/>
          <w:bCs/>
          <w:sz w:val="22"/>
          <w:szCs w:val="22"/>
        </w:rPr>
        <w:t xml:space="preserve"> </w:t>
      </w:r>
      <w:r w:rsidR="00F17101" w:rsidRPr="00C419B9">
        <w:rPr>
          <w:rFonts w:ascii="Calibri" w:hAnsi="Calibri" w:cs="Calibri"/>
          <w:sz w:val="22"/>
          <w:szCs w:val="22"/>
        </w:rPr>
        <w:t xml:space="preserve">Another element of the research problem is that within a school environment, the SCDP role is not standardised, unlike various teacher roles, that have formal, established levels </w:t>
      </w:r>
      <w:r w:rsidR="007232C8" w:rsidRPr="00C419B9">
        <w:rPr>
          <w:rFonts w:ascii="Calibri" w:hAnsi="Calibri" w:cs="Calibri"/>
          <w:noProof/>
          <w:sz w:val="22"/>
          <w:szCs w:val="22"/>
        </w:rPr>
        <w:t>(State Government of Victoria, 2019)</w:t>
      </w:r>
      <w:r w:rsidR="00F17101" w:rsidRPr="00C419B9">
        <w:rPr>
          <w:rFonts w:ascii="Calibri" w:hAnsi="Calibri" w:cs="Calibri"/>
          <w:sz w:val="22"/>
          <w:szCs w:val="22"/>
        </w:rPr>
        <w:t xml:space="preserve"> for each role.</w:t>
      </w:r>
      <w:r w:rsidR="00F17101" w:rsidRPr="00C419B9">
        <w:rPr>
          <w:rStyle w:val="Heading4Char"/>
          <w:rFonts w:ascii="Calibri" w:hAnsi="Calibri" w:cs="Calibri"/>
          <w:sz w:val="22"/>
          <w:szCs w:val="22"/>
        </w:rPr>
        <w:t xml:space="preserve"> </w:t>
      </w:r>
      <w:r w:rsidR="00F17101" w:rsidRPr="00C419B9">
        <w:rPr>
          <w:rFonts w:ascii="Calibri" w:hAnsi="Calibri" w:cs="Calibri"/>
          <w:sz w:val="22"/>
          <w:szCs w:val="22"/>
        </w:rPr>
        <w:t xml:space="preserve">In Australian secondary schools, there are SCDPs, teachers, and staff with STEM vocational experience (education, practical work experience, and qualifications), who facilitate the school’s STEM education curriculum. This vocational experience (working in a STEM career) is one of the toolbox resources used by SCDPs to provide authentic knowledge and experience to school students, and current and accurate career guidance regarding STEM careers. Whilst the focus of the present study is STEM careers, it does not disregard other careers. Rottinghaus et al. </w:t>
      </w:r>
      <w:r w:rsidR="007232C8" w:rsidRPr="00C419B9">
        <w:rPr>
          <w:rFonts w:ascii="Calibri" w:hAnsi="Calibri" w:cs="Calibri"/>
          <w:noProof/>
          <w:sz w:val="22"/>
          <w:szCs w:val="22"/>
        </w:rPr>
        <w:t>(2018)</w:t>
      </w:r>
      <w:r w:rsidR="00F17101" w:rsidRPr="00C419B9">
        <w:rPr>
          <w:rFonts w:ascii="Calibri" w:hAnsi="Calibri" w:cs="Calibri"/>
          <w:sz w:val="22"/>
          <w:szCs w:val="22"/>
        </w:rPr>
        <w:t xml:space="preserve"> identified that career counsellors must continually enhance their knowledge and skills to assist clients contemplating careers in science, technology, engineering, and mathematics. The researcher examines the career guidance provided by SCDPs with STEM vocational experience, and how this experience influences their career guidance provided to VET STEM students. </w:t>
      </w:r>
    </w:p>
    <w:p w14:paraId="7696C384" w14:textId="7D56A90A" w:rsidR="009B7BD9"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relationship between the SCDP’s career adaptability and their personal undertaking of vocational qualifications is considered. For instance, there is a common misconception among school students/parents/teachers, that STEM qualifications must be pursued solely through the higher education sector </w:t>
      </w:r>
      <w:r w:rsidR="007232C8" w:rsidRPr="00C419B9">
        <w:rPr>
          <w:rFonts w:ascii="Calibri" w:hAnsi="Calibri" w:cs="Calibri"/>
          <w:noProof/>
          <w:sz w:val="22"/>
          <w:szCs w:val="22"/>
        </w:rPr>
        <w:t>(Murcia et al., 2020)</w:t>
      </w:r>
      <w:r w:rsidRPr="00C419B9">
        <w:rPr>
          <w:rFonts w:ascii="Calibri" w:hAnsi="Calibri" w:cs="Calibri"/>
          <w:sz w:val="22"/>
          <w:szCs w:val="22"/>
        </w:rPr>
        <w:t xml:space="preserve">, rather than through the VET sector. Therefore, part of </w:t>
      </w:r>
      <w:r w:rsidR="00613FE2" w:rsidRPr="00C419B9">
        <w:rPr>
          <w:rFonts w:ascii="Calibri" w:hAnsi="Calibri" w:cs="Calibri"/>
          <w:sz w:val="22"/>
          <w:szCs w:val="22"/>
        </w:rPr>
        <w:t>the</w:t>
      </w:r>
      <w:r w:rsidRPr="00C419B9">
        <w:rPr>
          <w:rFonts w:ascii="Calibri" w:hAnsi="Calibri" w:cs="Calibri"/>
          <w:sz w:val="22"/>
          <w:szCs w:val="22"/>
        </w:rPr>
        <w:t xml:space="preserve"> rationale for the present study is whether the SCDPs with STEM vocational experience, specifically their personal experience of undertaking a VET qualification, and their personal practical work experience in a STEM role, influences the career guidance provided to students pursuing STEM careers in a VET institution. </w:t>
      </w:r>
    </w:p>
    <w:bookmarkEnd w:id="14"/>
    <w:bookmarkEnd w:id="15"/>
    <w:p w14:paraId="2C8EC5A1" w14:textId="184BBA02" w:rsidR="00627EF9" w:rsidRPr="00C419B9" w:rsidRDefault="00627EF9" w:rsidP="007715EE">
      <w:pPr>
        <w:pStyle w:val="Heading2"/>
        <w:spacing w:before="0" w:after="0" w:line="360" w:lineRule="auto"/>
        <w:ind w:firstLine="0"/>
        <w:jc w:val="both"/>
        <w:rPr>
          <w:rFonts w:ascii="Calibri" w:hAnsi="Calibri" w:cs="Calibri"/>
          <w:sz w:val="22"/>
          <w:szCs w:val="22"/>
        </w:rPr>
      </w:pPr>
      <w:r w:rsidRPr="00C419B9">
        <w:rPr>
          <w:rFonts w:ascii="Calibri" w:hAnsi="Calibri" w:cs="Calibri"/>
          <w:sz w:val="22"/>
          <w:szCs w:val="22"/>
        </w:rPr>
        <w:t>Theoretical Basis</w:t>
      </w:r>
    </w:p>
    <w:p w14:paraId="15FA0E2C" w14:textId="2B78F8A4"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The purpose of this convergent parallel mixed methods research design was to explore the career guidance given to students pursuing VET STEM careers. The quantitative and qualitative design was positioned within a convergent parallel design and a constructionist approach was used to interpret the qualitative data derived from this design.</w:t>
      </w:r>
    </w:p>
    <w:p w14:paraId="1F6C0C57" w14:textId="45117B84" w:rsidR="00F17101" w:rsidRPr="00C419B9" w:rsidRDefault="00F17101" w:rsidP="007715EE">
      <w:pPr>
        <w:spacing w:line="360" w:lineRule="auto"/>
        <w:ind w:firstLine="0"/>
        <w:mirrorIndents/>
        <w:jc w:val="both"/>
        <w:rPr>
          <w:rFonts w:ascii="Calibri" w:hAnsi="Calibri" w:cs="Calibri"/>
          <w:b/>
          <w:bCs/>
          <w:i/>
          <w:iCs/>
          <w:sz w:val="22"/>
          <w:szCs w:val="22"/>
        </w:rPr>
      </w:pPr>
      <w:bookmarkStart w:id="17" w:name="_Toc155779308"/>
      <w:bookmarkStart w:id="18" w:name="_Toc188210581"/>
      <w:bookmarkStart w:id="19" w:name="_Hlk169461496"/>
      <w:bookmarkStart w:id="20" w:name="_Toc155779307"/>
      <w:bookmarkStart w:id="21" w:name="_Toc155779306"/>
      <w:bookmarkStart w:id="22" w:name="_Toc155779305"/>
      <w:bookmarkStart w:id="23" w:name="_Toc155779301"/>
      <w:r w:rsidRPr="00C419B9">
        <w:rPr>
          <w:rFonts w:ascii="Calibri" w:hAnsi="Calibri" w:cs="Calibri"/>
          <w:b/>
          <w:i/>
          <w:iCs/>
          <w:sz w:val="22"/>
          <w:szCs w:val="22"/>
        </w:rPr>
        <w:t>Research Question</w:t>
      </w:r>
      <w:bookmarkEnd w:id="17"/>
      <w:bookmarkEnd w:id="18"/>
    </w:p>
    <w:p w14:paraId="7ACE953F" w14:textId="70D63211" w:rsidR="003F2AC3" w:rsidRPr="00C419B9" w:rsidRDefault="00F17101" w:rsidP="007715EE">
      <w:pPr>
        <w:spacing w:line="360" w:lineRule="auto"/>
        <w:ind w:firstLine="0"/>
        <w:jc w:val="both"/>
        <w:rPr>
          <w:rFonts w:ascii="Calibri" w:hAnsi="Calibri" w:cs="Calibri"/>
          <w:i/>
          <w:sz w:val="22"/>
          <w:szCs w:val="22"/>
          <w:lang w:val="en-GB"/>
        </w:rPr>
      </w:pPr>
      <w:r w:rsidRPr="00C419B9">
        <w:rPr>
          <w:rFonts w:ascii="Calibri" w:hAnsi="Calibri" w:cs="Calibri"/>
          <w:sz w:val="22"/>
          <w:szCs w:val="22"/>
        </w:rPr>
        <w:lastRenderedPageBreak/>
        <w:t xml:space="preserve">There is one research question addressed by the present study: </w:t>
      </w:r>
      <w:bookmarkEnd w:id="19"/>
      <w:r w:rsidRPr="00C419B9">
        <w:rPr>
          <w:rFonts w:ascii="Calibri" w:hAnsi="Calibri" w:cs="Calibri"/>
          <w:sz w:val="22"/>
          <w:szCs w:val="22"/>
        </w:rPr>
        <w:t xml:space="preserve">(RQ): </w:t>
      </w:r>
      <w:r w:rsidRPr="00C419B9">
        <w:rPr>
          <w:rFonts w:ascii="Calibri" w:hAnsi="Calibri" w:cs="Calibri"/>
          <w:i/>
          <w:iCs/>
          <w:sz w:val="22"/>
          <w:szCs w:val="22"/>
          <w:lang w:val="en-GB"/>
        </w:rPr>
        <w:t>How do SCDP's develop their career adaptability as practitioners through their experiences guiding students pursuing VET STEM careers?</w:t>
      </w:r>
      <w:bookmarkEnd w:id="20"/>
      <w:bookmarkEnd w:id="21"/>
      <w:bookmarkEnd w:id="22"/>
    </w:p>
    <w:p w14:paraId="32DE7DE8" w14:textId="34558EAB"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Although the relationship between VET and STEM is identified </w:t>
      </w:r>
      <w:r w:rsidR="007232C8" w:rsidRPr="00C419B9">
        <w:rPr>
          <w:rFonts w:ascii="Calibri" w:hAnsi="Calibri" w:cs="Calibri"/>
          <w:noProof/>
          <w:sz w:val="22"/>
          <w:szCs w:val="22"/>
        </w:rPr>
        <w:t>(Korbel, 2016; Siekmann &amp; Korbel, 2016)</w:t>
      </w:r>
      <w:r w:rsidRPr="00C419B9">
        <w:rPr>
          <w:rFonts w:ascii="Calibri" w:hAnsi="Calibri" w:cs="Calibri"/>
          <w:sz w:val="22"/>
          <w:szCs w:val="22"/>
        </w:rPr>
        <w:t>, discussing this relationship is outside the scope of the present</w:t>
      </w:r>
      <w:r w:rsidR="005C1481" w:rsidRPr="00C419B9">
        <w:rPr>
          <w:rFonts w:ascii="Calibri" w:hAnsi="Calibri" w:cs="Calibri"/>
          <w:sz w:val="22"/>
          <w:szCs w:val="22"/>
        </w:rPr>
        <w:t xml:space="preserve"> study</w:t>
      </w:r>
      <w:r w:rsidRPr="00C419B9">
        <w:rPr>
          <w:rFonts w:ascii="Calibri" w:hAnsi="Calibri" w:cs="Calibri"/>
          <w:sz w:val="22"/>
          <w:szCs w:val="22"/>
        </w:rPr>
        <w:t>. VET has faced an identity crisis, with decreasing enrolments in VET STEM programs, necessitating this present study.</w:t>
      </w:r>
    </w:p>
    <w:bookmarkEnd w:id="23"/>
    <w:p w14:paraId="46104487" w14:textId="43A579ED" w:rsidR="00F17101" w:rsidRPr="00C419B9" w:rsidRDefault="00F17101" w:rsidP="007715EE">
      <w:pPr>
        <w:spacing w:line="360" w:lineRule="auto"/>
        <w:ind w:firstLine="0"/>
        <w:jc w:val="both"/>
        <w:rPr>
          <w:rFonts w:ascii="Calibri" w:hAnsi="Calibri" w:cs="Calibri"/>
          <w:b/>
          <w:bCs/>
          <w:sz w:val="22"/>
          <w:szCs w:val="22"/>
        </w:rPr>
      </w:pPr>
      <w:r w:rsidRPr="00C419B9">
        <w:rPr>
          <w:rFonts w:ascii="Calibri" w:hAnsi="Calibri" w:cs="Calibri"/>
          <w:b/>
          <w:sz w:val="22"/>
          <w:szCs w:val="22"/>
        </w:rPr>
        <w:t xml:space="preserve">Vocational Education and Training Specific Terminology. </w:t>
      </w:r>
    </w:p>
    <w:p w14:paraId="6BF859CD" w14:textId="77777777" w:rsidR="00D304E7" w:rsidRPr="00C419B9" w:rsidRDefault="00F17101" w:rsidP="007715EE">
      <w:pPr>
        <w:pStyle w:val="p1"/>
        <w:spacing w:line="360" w:lineRule="auto"/>
        <w:rPr>
          <w:rFonts w:ascii="Calibri" w:hAnsi="Calibri" w:cs="Calibri"/>
          <w:sz w:val="22"/>
          <w:szCs w:val="22"/>
        </w:rPr>
      </w:pPr>
      <w:r w:rsidRPr="00C419B9">
        <w:rPr>
          <w:rStyle w:val="Heading4Char"/>
          <w:rFonts w:ascii="Calibri" w:hAnsi="Calibri" w:cs="Calibri"/>
          <w:iCs w:val="0"/>
          <w:sz w:val="22"/>
          <w:szCs w:val="22"/>
        </w:rPr>
        <w:t>Vocational Education and Training (VET)</w:t>
      </w:r>
      <w:r w:rsidRPr="00C419B9">
        <w:rPr>
          <w:rStyle w:val="Heading4Char"/>
          <w:rFonts w:ascii="Calibri" w:hAnsi="Calibri" w:cs="Calibri"/>
          <w:sz w:val="22"/>
          <w:szCs w:val="22"/>
        </w:rPr>
        <w:t>.</w:t>
      </w:r>
      <w:r w:rsidRPr="00C419B9">
        <w:rPr>
          <w:rFonts w:ascii="Calibri" w:hAnsi="Calibri" w:cs="Calibri"/>
          <w:sz w:val="22"/>
          <w:szCs w:val="22"/>
        </w:rPr>
        <w:t xml:space="preserve"> </w:t>
      </w:r>
    </w:p>
    <w:p w14:paraId="53F1AEFC" w14:textId="328FA9B1" w:rsidR="005C1481" w:rsidRPr="00C419B9" w:rsidRDefault="00F17101" w:rsidP="007715EE">
      <w:pPr>
        <w:pStyle w:val="p1"/>
        <w:spacing w:line="360" w:lineRule="auto"/>
        <w:rPr>
          <w:rFonts w:ascii="Calibri" w:hAnsi="Calibri" w:cs="Calibri"/>
          <w:sz w:val="22"/>
          <w:szCs w:val="22"/>
        </w:rPr>
      </w:pPr>
      <w:r w:rsidRPr="00C419B9">
        <w:rPr>
          <w:rFonts w:ascii="Calibri" w:hAnsi="Calibri" w:cs="Calibri"/>
          <w:sz w:val="22"/>
          <w:szCs w:val="22"/>
        </w:rPr>
        <w:t xml:space="preserve">The </w:t>
      </w:r>
      <w:r w:rsidRPr="00C419B9">
        <w:rPr>
          <w:rFonts w:ascii="Calibri" w:hAnsi="Calibri" w:cs="Calibri"/>
          <w:i/>
          <w:iCs/>
          <w:sz w:val="22"/>
          <w:szCs w:val="22"/>
        </w:rPr>
        <w:t>VET</w:t>
      </w:r>
      <w:r w:rsidRPr="00C419B9">
        <w:rPr>
          <w:rFonts w:ascii="Calibri" w:hAnsi="Calibri" w:cs="Calibri"/>
          <w:sz w:val="22"/>
          <w:szCs w:val="22"/>
        </w:rPr>
        <w:t xml:space="preserve"> sector is responsible for delivering workplace-specific skills and knowledge-based competencies. Generally, Australian Qualifications Framework (AQF) levels one to five are delivered in VET, though qualifications up to level seven can be delivered </w:t>
      </w:r>
      <w:r w:rsidRPr="00C419B9">
        <w:rPr>
          <w:rFonts w:ascii="Calibri" w:hAnsi="Calibri" w:cs="Calibri"/>
          <w:noProof/>
          <w:sz w:val="22"/>
          <w:szCs w:val="22"/>
        </w:rPr>
        <w:t>(</w:t>
      </w:r>
      <w:r w:rsidRPr="00C419B9">
        <w:rPr>
          <w:rFonts w:ascii="Calibri" w:hAnsi="Calibri" w:cs="Calibri"/>
          <w:sz w:val="22"/>
          <w:szCs w:val="22"/>
        </w:rPr>
        <w:t>Australian Qualifications Framework Council</w:t>
      </w:r>
      <w:r w:rsidR="00B54A88" w:rsidRPr="00C419B9">
        <w:rPr>
          <w:rFonts w:ascii="Calibri" w:hAnsi="Calibri" w:cs="Calibri"/>
          <w:sz w:val="22"/>
          <w:szCs w:val="22"/>
        </w:rPr>
        <w:t xml:space="preserve"> </w:t>
      </w:r>
      <w:r w:rsidR="007232C8" w:rsidRPr="00C419B9">
        <w:rPr>
          <w:rFonts w:ascii="Calibri" w:hAnsi="Calibri" w:cs="Calibri"/>
          <w:noProof/>
          <w:sz w:val="22"/>
          <w:szCs w:val="22"/>
        </w:rPr>
        <w:t>(Australian Qualifications Framework Council, 2024)</w:t>
      </w:r>
      <w:r w:rsidRPr="00C419B9">
        <w:rPr>
          <w:rFonts w:ascii="Calibri" w:hAnsi="Calibri" w:cs="Calibri"/>
          <w:sz w:val="22"/>
          <w:szCs w:val="22"/>
        </w:rPr>
        <w:t xml:space="preserve">. </w:t>
      </w:r>
      <w:r w:rsidR="005C1481" w:rsidRPr="00C419B9">
        <w:rPr>
          <w:rFonts w:ascii="Calibri" w:hAnsi="Calibri" w:cs="Calibri"/>
          <w:sz w:val="22"/>
          <w:szCs w:val="22"/>
        </w:rPr>
        <w:t xml:space="preserve">Recently, the AQF has been modified to include another </w:t>
      </w:r>
      <w:proofErr w:type="spellStart"/>
      <w:r w:rsidR="005C1481" w:rsidRPr="00C419B9">
        <w:rPr>
          <w:rFonts w:ascii="Calibri" w:hAnsi="Calibri" w:cs="Calibri"/>
          <w:sz w:val="22"/>
          <w:szCs w:val="22"/>
        </w:rPr>
        <w:t>AQF7</w:t>
      </w:r>
      <w:proofErr w:type="spellEnd"/>
      <w:r w:rsidR="005C1481" w:rsidRPr="00C419B9">
        <w:rPr>
          <w:rFonts w:ascii="Calibri" w:hAnsi="Calibri" w:cs="Calibri"/>
          <w:sz w:val="22"/>
          <w:szCs w:val="22"/>
        </w:rPr>
        <w:t xml:space="preserve"> qualification</w:t>
      </w:r>
      <w:r w:rsidR="007A5334" w:rsidRPr="00C419B9">
        <w:rPr>
          <w:rFonts w:ascii="Calibri" w:hAnsi="Calibri" w:cs="Calibri"/>
          <w:sz w:val="22"/>
          <w:szCs w:val="22"/>
        </w:rPr>
        <w:t xml:space="preserve"> </w:t>
      </w:r>
      <w:r w:rsidR="007232C8" w:rsidRPr="00C419B9">
        <w:rPr>
          <w:rFonts w:ascii="Calibri" w:hAnsi="Calibri" w:cs="Calibri"/>
          <w:noProof/>
          <w:sz w:val="22"/>
          <w:szCs w:val="22"/>
        </w:rPr>
        <w:t>(Department of Education, 2025)</w:t>
      </w:r>
      <w:r w:rsidR="005C1481" w:rsidRPr="00C419B9">
        <w:rPr>
          <w:rFonts w:ascii="Calibri" w:hAnsi="Calibri" w:cs="Calibri"/>
          <w:sz w:val="22"/>
          <w:szCs w:val="22"/>
        </w:rPr>
        <w:t xml:space="preserve">, equivalent to a Bachelor degree. This </w:t>
      </w:r>
      <w:r w:rsidR="000F721A" w:rsidRPr="00C419B9">
        <w:rPr>
          <w:rFonts w:ascii="Calibri" w:hAnsi="Calibri" w:cs="Calibri"/>
          <w:sz w:val="22"/>
          <w:szCs w:val="22"/>
        </w:rPr>
        <w:t>vocational degree</w:t>
      </w:r>
      <w:r w:rsidR="004270D8" w:rsidRPr="00C419B9">
        <w:rPr>
          <w:rFonts w:ascii="Calibri" w:hAnsi="Calibri" w:cs="Calibri"/>
          <w:sz w:val="22"/>
          <w:szCs w:val="22"/>
        </w:rPr>
        <w:t xml:space="preserve"> was developed </w:t>
      </w:r>
      <w:r w:rsidR="002C5A25" w:rsidRPr="00C419B9">
        <w:rPr>
          <w:rFonts w:ascii="Calibri" w:hAnsi="Calibri" w:cs="Calibri"/>
          <w:sz w:val="22"/>
          <w:szCs w:val="22"/>
        </w:rPr>
        <w:t xml:space="preserve">in response to a White Paper </w:t>
      </w:r>
      <w:r w:rsidR="007232C8" w:rsidRPr="00C419B9">
        <w:rPr>
          <w:rFonts w:ascii="Calibri" w:hAnsi="Calibri" w:cs="Calibri"/>
          <w:noProof/>
          <w:sz w:val="22"/>
          <w:szCs w:val="22"/>
        </w:rPr>
        <w:t>(Commonwealth of Australia, 2023)</w:t>
      </w:r>
      <w:r w:rsidR="00AC710F" w:rsidRPr="00C419B9">
        <w:rPr>
          <w:rFonts w:ascii="Calibri" w:hAnsi="Calibri" w:cs="Calibri"/>
          <w:sz w:val="22"/>
          <w:szCs w:val="22"/>
        </w:rPr>
        <w:t xml:space="preserve">, </w:t>
      </w:r>
      <w:r w:rsidR="002C5A25" w:rsidRPr="00C419B9">
        <w:rPr>
          <w:rFonts w:ascii="Calibri" w:hAnsi="Calibri" w:cs="Calibri"/>
          <w:sz w:val="22"/>
          <w:szCs w:val="22"/>
        </w:rPr>
        <w:t>which determined that a ‘higher apprenticeship’ (p.</w:t>
      </w:r>
      <w:r w:rsidR="006B0053" w:rsidRPr="00C419B9">
        <w:rPr>
          <w:rFonts w:ascii="Calibri" w:hAnsi="Calibri" w:cs="Calibri"/>
          <w:sz w:val="22"/>
          <w:szCs w:val="22"/>
        </w:rPr>
        <w:t xml:space="preserve"> 124) was required to be added to the AQF to accommodate the need for a higher qualification for those undertaking study within the VET sector.</w:t>
      </w:r>
    </w:p>
    <w:p w14:paraId="7921D4B8" w14:textId="47452EBE"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VET qualifications can be delivered as stand-alone qualifications, used as a pathway to higher education entrances, or to complete an apprenticeship/traineeship. Some VET providers deliver Bachelor-level qualifications, either through partnerships with universities or within the VET provider </w:t>
      </w:r>
      <w:r w:rsidRPr="00C419B9">
        <w:rPr>
          <w:rFonts w:ascii="Calibri" w:hAnsi="Calibri" w:cs="Calibri"/>
          <w:noProof/>
          <w:sz w:val="22"/>
          <w:szCs w:val="22"/>
        </w:rPr>
        <w:t>Australian Qualifications Framework Advisory Body</w:t>
      </w:r>
      <w:r w:rsidR="00B54A88" w:rsidRPr="00C419B9">
        <w:rPr>
          <w:rFonts w:ascii="Calibri" w:hAnsi="Calibri" w:cs="Calibri"/>
          <w:noProof/>
          <w:sz w:val="22"/>
          <w:szCs w:val="22"/>
        </w:rPr>
        <w:t xml:space="preserve"> </w:t>
      </w:r>
      <w:r w:rsidR="007232C8" w:rsidRPr="00C419B9">
        <w:rPr>
          <w:rFonts w:ascii="Calibri" w:hAnsi="Calibri" w:cs="Calibri"/>
          <w:noProof/>
          <w:sz w:val="22"/>
          <w:szCs w:val="22"/>
        </w:rPr>
        <w:t>(Australian Qualifications Framework Advisory Body, 2007)</w:t>
      </w:r>
      <w:r w:rsidRPr="00C419B9">
        <w:rPr>
          <w:rFonts w:ascii="Calibri" w:hAnsi="Calibri" w:cs="Calibri"/>
          <w:sz w:val="22"/>
          <w:szCs w:val="22"/>
        </w:rPr>
        <w:t xml:space="preserve">. </w:t>
      </w:r>
    </w:p>
    <w:p w14:paraId="035C544C" w14:textId="77777777" w:rsidR="005D62D2" w:rsidRPr="00C419B9" w:rsidRDefault="00F17101" w:rsidP="007715EE">
      <w:pPr>
        <w:spacing w:line="360" w:lineRule="auto"/>
        <w:ind w:firstLine="0"/>
        <w:jc w:val="both"/>
        <w:rPr>
          <w:rFonts w:ascii="Calibri" w:hAnsi="Calibri" w:cs="Calibri"/>
          <w:sz w:val="22"/>
          <w:szCs w:val="22"/>
        </w:rPr>
      </w:pPr>
      <w:r w:rsidRPr="00C419B9">
        <w:rPr>
          <w:rStyle w:val="Heading4Char"/>
          <w:rFonts w:ascii="Calibri" w:hAnsi="Calibri" w:cs="Calibri"/>
          <w:sz w:val="22"/>
          <w:szCs w:val="22"/>
        </w:rPr>
        <w:t>Registered Training Organisation</w:t>
      </w:r>
      <w:r w:rsidRPr="00C419B9">
        <w:rPr>
          <w:rFonts w:ascii="Calibri" w:hAnsi="Calibri" w:cs="Calibri"/>
          <w:sz w:val="22"/>
          <w:szCs w:val="22"/>
        </w:rPr>
        <w:t xml:space="preserve"> (RTOs). </w:t>
      </w:r>
    </w:p>
    <w:p w14:paraId="3CBD7B0B" w14:textId="4B786432"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Deliver nationally recognised training in the VET sector. To deliver this training, they need to be approved by the Australian Skills Quality Authority</w:t>
      </w:r>
      <w:r w:rsidR="00D67395" w:rsidRPr="00C419B9">
        <w:rPr>
          <w:rFonts w:ascii="Calibri" w:hAnsi="Calibri" w:cs="Calibri"/>
          <w:sz w:val="22"/>
          <w:szCs w:val="22"/>
        </w:rPr>
        <w:t xml:space="preserve"> </w:t>
      </w:r>
      <w:r w:rsidR="007232C8" w:rsidRPr="00C419B9">
        <w:rPr>
          <w:rFonts w:ascii="Calibri" w:hAnsi="Calibri" w:cs="Calibri"/>
          <w:sz w:val="22"/>
          <w:szCs w:val="22"/>
        </w:rPr>
        <w:t>(2023)</w:t>
      </w:r>
      <w:r w:rsidRPr="00C419B9">
        <w:rPr>
          <w:rFonts w:ascii="Calibri" w:hAnsi="Calibri" w:cs="Calibri"/>
          <w:sz w:val="22"/>
          <w:szCs w:val="22"/>
        </w:rPr>
        <w:t>. Registered Training Organisations are the only organisations in the Australian VET system authorised to:</w:t>
      </w:r>
    </w:p>
    <w:p w14:paraId="4C26380D" w14:textId="77777777" w:rsidR="00F17101" w:rsidRPr="00C419B9" w:rsidRDefault="00F17101" w:rsidP="007715EE">
      <w:pPr>
        <w:pStyle w:val="ListParagraph"/>
        <w:widowControl w:val="0"/>
        <w:numPr>
          <w:ilvl w:val="0"/>
          <w:numId w:val="5"/>
        </w:numPr>
        <w:kinsoku w:val="0"/>
        <w:overflowPunct w:val="0"/>
        <w:adjustRightInd w:val="0"/>
        <w:snapToGrid w:val="0"/>
        <w:spacing w:line="360" w:lineRule="auto"/>
        <w:ind w:left="0" w:firstLine="0"/>
        <w:contextualSpacing w:val="0"/>
        <w:jc w:val="both"/>
        <w:rPr>
          <w:rFonts w:ascii="Calibri" w:hAnsi="Calibri" w:cs="Calibri"/>
          <w:sz w:val="22"/>
          <w:szCs w:val="22"/>
        </w:rPr>
      </w:pPr>
      <w:r w:rsidRPr="00C419B9">
        <w:rPr>
          <w:rFonts w:ascii="Calibri" w:hAnsi="Calibri" w:cs="Calibri"/>
          <w:sz w:val="22"/>
          <w:szCs w:val="22"/>
        </w:rPr>
        <w:t>deliver and assess nationally recognised training,</w:t>
      </w:r>
    </w:p>
    <w:p w14:paraId="71412981" w14:textId="77777777" w:rsidR="00F17101" w:rsidRPr="00C419B9" w:rsidRDefault="00F17101" w:rsidP="007715EE">
      <w:pPr>
        <w:pStyle w:val="ListParagraph"/>
        <w:widowControl w:val="0"/>
        <w:numPr>
          <w:ilvl w:val="0"/>
          <w:numId w:val="5"/>
        </w:numPr>
        <w:kinsoku w:val="0"/>
        <w:overflowPunct w:val="0"/>
        <w:adjustRightInd w:val="0"/>
        <w:snapToGrid w:val="0"/>
        <w:spacing w:line="360" w:lineRule="auto"/>
        <w:ind w:left="0" w:firstLine="0"/>
        <w:contextualSpacing w:val="0"/>
        <w:jc w:val="both"/>
        <w:rPr>
          <w:rFonts w:ascii="Calibri" w:hAnsi="Calibri" w:cs="Calibri"/>
          <w:sz w:val="22"/>
          <w:szCs w:val="22"/>
        </w:rPr>
      </w:pPr>
      <w:r w:rsidRPr="00C419B9">
        <w:rPr>
          <w:rFonts w:ascii="Calibri" w:hAnsi="Calibri" w:cs="Calibri"/>
          <w:sz w:val="22"/>
          <w:szCs w:val="22"/>
        </w:rPr>
        <w:t>issue nationally recognised qualifications and statements of attainment,</w:t>
      </w:r>
    </w:p>
    <w:p w14:paraId="6BE23172" w14:textId="77777777" w:rsidR="00F17101" w:rsidRPr="00C419B9" w:rsidRDefault="00F17101" w:rsidP="007715EE">
      <w:pPr>
        <w:pStyle w:val="ListParagraph"/>
        <w:widowControl w:val="0"/>
        <w:numPr>
          <w:ilvl w:val="0"/>
          <w:numId w:val="5"/>
        </w:numPr>
        <w:kinsoku w:val="0"/>
        <w:overflowPunct w:val="0"/>
        <w:adjustRightInd w:val="0"/>
        <w:snapToGrid w:val="0"/>
        <w:spacing w:line="360" w:lineRule="auto"/>
        <w:ind w:left="0" w:firstLine="0"/>
        <w:contextualSpacing w:val="0"/>
        <w:jc w:val="both"/>
        <w:rPr>
          <w:rFonts w:ascii="Calibri" w:hAnsi="Calibri" w:cs="Calibri"/>
          <w:sz w:val="22"/>
          <w:szCs w:val="22"/>
        </w:rPr>
      </w:pPr>
      <w:r w:rsidRPr="00C419B9">
        <w:rPr>
          <w:rFonts w:ascii="Calibri" w:hAnsi="Calibri" w:cs="Calibri"/>
          <w:sz w:val="22"/>
          <w:szCs w:val="22"/>
        </w:rPr>
        <w:t>apply for government funding to provide VET services.</w:t>
      </w:r>
    </w:p>
    <w:p w14:paraId="5F8FDEB8" w14:textId="2A25FB90"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More than 4 million students study in a VET institution each year in Australia. Vocational education and training is the main way Australians upskill or reskill </w:t>
      </w:r>
      <w:r w:rsidR="007232C8" w:rsidRPr="00C419B9">
        <w:rPr>
          <w:rFonts w:ascii="Calibri" w:hAnsi="Calibri" w:cs="Calibri"/>
          <w:sz w:val="22"/>
          <w:szCs w:val="22"/>
        </w:rPr>
        <w:t>(Australian Skills Quality Authority, 2023)</w:t>
      </w:r>
      <w:r w:rsidRPr="00C419B9">
        <w:rPr>
          <w:rFonts w:ascii="Calibri" w:hAnsi="Calibri" w:cs="Calibri"/>
          <w:sz w:val="22"/>
          <w:szCs w:val="22"/>
        </w:rPr>
        <w:t xml:space="preserve">. Of the 4,000 registered training organisations in Australia, there are 30 Technical and Further Education (TAFE) institutions and they have approximately one million VET enrolments </w:t>
      </w:r>
      <w:r w:rsidR="007232C8" w:rsidRPr="00C419B9">
        <w:rPr>
          <w:rFonts w:ascii="Calibri" w:hAnsi="Calibri" w:cs="Calibri"/>
          <w:sz w:val="22"/>
          <w:szCs w:val="22"/>
        </w:rPr>
        <w:t>(Australian Skills Quality Authority, 2024)</w:t>
      </w:r>
      <w:r w:rsidRPr="00C419B9">
        <w:rPr>
          <w:rFonts w:ascii="Calibri" w:hAnsi="Calibri" w:cs="Calibri"/>
          <w:sz w:val="22"/>
          <w:szCs w:val="22"/>
        </w:rPr>
        <w:t>.</w:t>
      </w:r>
    </w:p>
    <w:p w14:paraId="4425D763" w14:textId="43161220" w:rsidR="00F17101" w:rsidRPr="00C419B9" w:rsidRDefault="00F17101" w:rsidP="007715EE">
      <w:pPr>
        <w:spacing w:line="360" w:lineRule="auto"/>
        <w:ind w:firstLine="0"/>
        <w:jc w:val="both"/>
        <w:rPr>
          <w:rFonts w:ascii="Calibri" w:hAnsi="Calibri" w:cs="Calibri"/>
          <w:b/>
          <w:bCs/>
          <w:i/>
          <w:iCs/>
          <w:sz w:val="22"/>
          <w:szCs w:val="22"/>
        </w:rPr>
      </w:pPr>
      <w:bookmarkStart w:id="24" w:name="_Toc188210587"/>
      <w:r w:rsidRPr="00C419B9">
        <w:rPr>
          <w:rFonts w:ascii="Calibri" w:hAnsi="Calibri" w:cs="Calibri"/>
          <w:b/>
          <w:i/>
          <w:iCs/>
          <w:sz w:val="22"/>
          <w:szCs w:val="22"/>
        </w:rPr>
        <w:lastRenderedPageBreak/>
        <w:t>Introduction to Career Construction Theory</w:t>
      </w:r>
      <w:bookmarkEnd w:id="24"/>
    </w:p>
    <w:p w14:paraId="7AC4C28F" w14:textId="18FECE4C"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In this </w:t>
      </w:r>
      <w:r w:rsidR="005162FA" w:rsidRPr="00C419B9">
        <w:rPr>
          <w:rFonts w:ascii="Calibri" w:hAnsi="Calibri" w:cs="Calibri"/>
          <w:sz w:val="22"/>
          <w:szCs w:val="22"/>
        </w:rPr>
        <w:t>paper</w:t>
      </w:r>
      <w:r w:rsidRPr="00C419B9">
        <w:rPr>
          <w:rFonts w:ascii="Calibri" w:hAnsi="Calibri" w:cs="Calibri"/>
          <w:sz w:val="22"/>
          <w:szCs w:val="22"/>
        </w:rPr>
        <w:t xml:space="preserve">, the term ‘social constructionist approach’ draws attention to the psychosocial influences associated with employment of SCDPs. The narratives associated with the experience of professionals working with students pursuing VET STEM careers are more important to stimulate dialogue around the way that policy could be developed to enhance opportunities for students. </w:t>
      </w:r>
    </w:p>
    <w:p w14:paraId="6968EC32" w14:textId="60A5E434"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Career construction theory </w:t>
      </w:r>
      <w:r w:rsidR="007232C8" w:rsidRPr="00C419B9">
        <w:rPr>
          <w:rFonts w:ascii="Calibri" w:hAnsi="Calibri" w:cs="Calibri"/>
          <w:noProof/>
          <w:sz w:val="22"/>
          <w:szCs w:val="22"/>
        </w:rPr>
        <w:t>(Savickas, 2002, 2013)</w:t>
      </w:r>
      <w:r w:rsidR="00F3402A" w:rsidRPr="00C419B9">
        <w:rPr>
          <w:rFonts w:ascii="Calibri" w:hAnsi="Calibri" w:cs="Calibri"/>
          <w:sz w:val="22"/>
          <w:szCs w:val="22"/>
        </w:rPr>
        <w:t xml:space="preserve"> </w:t>
      </w:r>
      <w:r w:rsidRPr="00C419B9">
        <w:rPr>
          <w:rFonts w:ascii="Calibri" w:hAnsi="Calibri" w:cs="Calibri"/>
          <w:sz w:val="22"/>
          <w:szCs w:val="22"/>
        </w:rPr>
        <w:t xml:space="preserve">posits that individuals who adapt to their environment with the aim of pursuing specific goals are more likely to pursue careers they are passionate about </w:t>
      </w:r>
      <w:r w:rsidR="007232C8" w:rsidRPr="00C419B9">
        <w:rPr>
          <w:rFonts w:ascii="Calibri" w:hAnsi="Calibri" w:cs="Calibri"/>
          <w:noProof/>
          <w:sz w:val="22"/>
          <w:szCs w:val="22"/>
        </w:rPr>
        <w:t>(Savickas, 2013)</w:t>
      </w:r>
      <w:r w:rsidRPr="00C419B9">
        <w:rPr>
          <w:rFonts w:ascii="Calibri" w:hAnsi="Calibri" w:cs="Calibri"/>
          <w:sz w:val="22"/>
          <w:szCs w:val="22"/>
        </w:rPr>
        <w:t xml:space="preserve">. Career construction theory </w:t>
      </w:r>
      <w:r w:rsidR="007232C8" w:rsidRPr="00C419B9">
        <w:rPr>
          <w:rFonts w:ascii="Calibri" w:hAnsi="Calibri" w:cs="Calibri"/>
          <w:noProof/>
          <w:sz w:val="22"/>
          <w:szCs w:val="22"/>
        </w:rPr>
        <w:t>(Savickas, 2002, 2013)</w:t>
      </w:r>
      <w:r w:rsidRPr="00C419B9">
        <w:rPr>
          <w:rFonts w:ascii="Calibri" w:hAnsi="Calibri" w:cs="Calibri"/>
          <w:sz w:val="22"/>
          <w:szCs w:val="22"/>
        </w:rPr>
        <w:t xml:space="preserve"> provides a framework for understanding how careers are both socially and individually constructed representations of reality. Taking a constructivist approach, Savickas views development of individuals’ careers as a result of environmental adaptation. However, in this study, these adaptations are regarded as context-specific adaptations, conceptualised by the SCDP’s role requirements. </w:t>
      </w:r>
    </w:p>
    <w:p w14:paraId="793A2AEE" w14:textId="64BD41B0" w:rsidR="00F17101" w:rsidRPr="00C419B9" w:rsidRDefault="00F17101" w:rsidP="007715EE">
      <w:pPr>
        <w:spacing w:line="360" w:lineRule="auto"/>
        <w:ind w:firstLine="0"/>
        <w:jc w:val="both"/>
        <w:rPr>
          <w:rFonts w:ascii="Calibri" w:hAnsi="Calibri" w:cs="Calibri"/>
          <w:b/>
          <w:bCs/>
          <w:i/>
          <w:iCs/>
          <w:sz w:val="22"/>
          <w:szCs w:val="22"/>
        </w:rPr>
      </w:pPr>
      <w:bookmarkStart w:id="25" w:name="_Toc188210588"/>
      <w:r w:rsidRPr="00C419B9">
        <w:rPr>
          <w:rFonts w:ascii="Calibri" w:hAnsi="Calibri" w:cs="Calibri"/>
          <w:b/>
          <w:i/>
          <w:iCs/>
          <w:sz w:val="22"/>
          <w:szCs w:val="22"/>
        </w:rPr>
        <w:t>Introduction to Career Adaptability</w:t>
      </w:r>
      <w:bookmarkEnd w:id="25"/>
    </w:p>
    <w:p w14:paraId="478DD476" w14:textId="190E5281"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Career adaptability has been used in the present study to indicate how SCDPs provide career guidance to students. Career adaptability encompasses readiness and resources for coping with changing jobs and work conditions </w:t>
      </w:r>
      <w:r w:rsidR="007232C8" w:rsidRPr="00C419B9">
        <w:rPr>
          <w:rFonts w:ascii="Calibri" w:hAnsi="Calibri" w:cs="Calibri"/>
          <w:noProof/>
          <w:sz w:val="22"/>
          <w:szCs w:val="22"/>
        </w:rPr>
        <w:t>(Savickas, 1997)</w:t>
      </w:r>
      <w:r w:rsidRPr="00C419B9">
        <w:rPr>
          <w:rFonts w:ascii="Calibri" w:hAnsi="Calibri" w:cs="Calibri"/>
          <w:sz w:val="22"/>
          <w:szCs w:val="22"/>
        </w:rPr>
        <w:t xml:space="preserve">. As SCDPs prepare students for their career post-compulsory school, building their career adaptability are a vital skill required to navigate unanticipated change and stress, and the SCDPs’ personal career adaptability directly affects how students cope with these changes </w:t>
      </w:r>
      <w:r w:rsidR="007232C8" w:rsidRPr="00C419B9">
        <w:rPr>
          <w:rFonts w:ascii="Calibri" w:hAnsi="Calibri" w:cs="Calibri"/>
          <w:noProof/>
          <w:sz w:val="22"/>
          <w:szCs w:val="22"/>
        </w:rPr>
        <w:t>(Gong et al., 2022)</w:t>
      </w:r>
      <w:r w:rsidRPr="00C419B9">
        <w:rPr>
          <w:rFonts w:ascii="Calibri" w:hAnsi="Calibri" w:cs="Calibri"/>
          <w:sz w:val="22"/>
          <w:szCs w:val="22"/>
        </w:rPr>
        <w:t xml:space="preserve">. </w:t>
      </w:r>
    </w:p>
    <w:p w14:paraId="5ED5DF31" w14:textId="6A6F68B7" w:rsidR="00F17101" w:rsidRPr="00C419B9" w:rsidRDefault="00F17101" w:rsidP="007715EE">
      <w:pPr>
        <w:spacing w:line="360" w:lineRule="auto"/>
        <w:ind w:firstLine="0"/>
        <w:jc w:val="both"/>
        <w:rPr>
          <w:rFonts w:ascii="Calibri" w:hAnsi="Calibri" w:cs="Calibri"/>
          <w:sz w:val="22"/>
          <w:szCs w:val="22"/>
        </w:rPr>
      </w:pPr>
      <w:bookmarkStart w:id="26" w:name="_Why_was_Career"/>
      <w:bookmarkEnd w:id="26"/>
      <w:r w:rsidRPr="00C419B9">
        <w:rPr>
          <w:rFonts w:ascii="Calibri" w:hAnsi="Calibri" w:cs="Calibri"/>
          <w:sz w:val="22"/>
          <w:szCs w:val="22"/>
        </w:rPr>
        <w:t xml:space="preserve">Career adaptability is central to the Career Construction Theory, graphically presented in Figure </w:t>
      </w:r>
      <w:r w:rsidR="009045EE" w:rsidRPr="00C419B9">
        <w:rPr>
          <w:rFonts w:ascii="Calibri" w:hAnsi="Calibri" w:cs="Calibri"/>
          <w:sz w:val="22"/>
          <w:szCs w:val="22"/>
        </w:rPr>
        <w:t>1</w:t>
      </w:r>
      <w:r w:rsidRPr="00C419B9">
        <w:rPr>
          <w:rFonts w:ascii="Calibri" w:hAnsi="Calibri" w:cs="Calibri"/>
          <w:sz w:val="22"/>
          <w:szCs w:val="22"/>
        </w:rPr>
        <w:t xml:space="preserve">. Career adaptability is a measure which represents how people adapt their social environment to their intended person-environment integration </w:t>
      </w:r>
      <w:r w:rsidR="007232C8" w:rsidRPr="00C419B9">
        <w:rPr>
          <w:rFonts w:ascii="Calibri" w:hAnsi="Calibri" w:cs="Calibri"/>
          <w:noProof/>
          <w:sz w:val="22"/>
          <w:szCs w:val="22"/>
        </w:rPr>
        <w:t>(Rossier et al., 2017)</w:t>
      </w:r>
      <w:r w:rsidRPr="00C419B9">
        <w:rPr>
          <w:rFonts w:ascii="Calibri" w:hAnsi="Calibri" w:cs="Calibri"/>
          <w:sz w:val="22"/>
          <w:szCs w:val="22"/>
        </w:rPr>
        <w:t xml:space="preserve">. The notion of a person designing their life was not always part of the career development theory literature. The first vocational psychologist Frank Parsons </w:t>
      </w:r>
      <w:r w:rsidR="007232C8" w:rsidRPr="00C419B9">
        <w:rPr>
          <w:rFonts w:ascii="Calibri" w:hAnsi="Calibri" w:cs="Calibri"/>
          <w:noProof/>
          <w:sz w:val="22"/>
          <w:szCs w:val="22"/>
        </w:rPr>
        <w:t>(1967)</w:t>
      </w:r>
      <w:r w:rsidRPr="00C419B9">
        <w:rPr>
          <w:rFonts w:ascii="Calibri" w:hAnsi="Calibri" w:cs="Calibri"/>
          <w:sz w:val="22"/>
          <w:szCs w:val="22"/>
        </w:rPr>
        <w:t xml:space="preserve"> conceptualised careers when a person was matched with a role, based on their physical attributes. Through adapting to social life, people also must adapt their expectations regarding how they work, play, and develop relationships </w:t>
      </w:r>
      <w:r w:rsidR="007232C8" w:rsidRPr="00C419B9">
        <w:rPr>
          <w:rFonts w:ascii="Calibri" w:hAnsi="Calibri" w:cs="Calibri"/>
          <w:noProof/>
          <w:sz w:val="22"/>
          <w:szCs w:val="22"/>
        </w:rPr>
        <w:t>(Savickas &amp; Porfeli, 2012)</w:t>
      </w:r>
      <w:r w:rsidRPr="00C419B9">
        <w:rPr>
          <w:rFonts w:ascii="Calibri" w:hAnsi="Calibri" w:cs="Calibri"/>
          <w:sz w:val="22"/>
          <w:szCs w:val="22"/>
        </w:rPr>
        <w:t xml:space="preserve">. In the present study, career adaptability was selected as it encompasses an individual’s readiness to comprehend vocational tasks. Additionally, it includes their ability to source career information and resources, which prepares them to be prepared and deal with occupational transitions and unexpected changes in their career journey </w:t>
      </w:r>
      <w:r w:rsidR="007232C8" w:rsidRPr="00C419B9">
        <w:rPr>
          <w:rFonts w:ascii="Calibri" w:hAnsi="Calibri" w:cs="Calibri"/>
          <w:noProof/>
          <w:sz w:val="22"/>
          <w:szCs w:val="22"/>
        </w:rPr>
        <w:t>(Johnston, 2018; Super &amp; Knasel, 1981)</w:t>
      </w:r>
      <w:r w:rsidRPr="00C419B9">
        <w:rPr>
          <w:rFonts w:ascii="Calibri" w:hAnsi="Calibri" w:cs="Calibri"/>
          <w:sz w:val="22"/>
          <w:szCs w:val="22"/>
        </w:rPr>
        <w:t>.</w:t>
      </w:r>
    </w:p>
    <w:p w14:paraId="43489496" w14:textId="42990E1F" w:rsidR="00F17101" w:rsidRPr="00C419B9" w:rsidRDefault="00F17101" w:rsidP="007715EE">
      <w:pPr>
        <w:spacing w:line="360" w:lineRule="auto"/>
        <w:ind w:firstLine="0"/>
        <w:jc w:val="both"/>
        <w:rPr>
          <w:rFonts w:ascii="Calibri" w:hAnsi="Calibri" w:cs="Calibri"/>
          <w:b/>
          <w:bCs/>
          <w:sz w:val="22"/>
          <w:szCs w:val="22"/>
        </w:rPr>
      </w:pPr>
      <w:bookmarkStart w:id="27" w:name="_1.2._Statement_of"/>
      <w:bookmarkStart w:id="28" w:name="_Vignette"/>
      <w:bookmarkStart w:id="29" w:name="_1.3._Positionality"/>
      <w:bookmarkStart w:id="30" w:name="_1.6._Positionality"/>
      <w:bookmarkStart w:id="31" w:name="_Toc188210592"/>
      <w:bookmarkEnd w:id="27"/>
      <w:bookmarkEnd w:id="28"/>
      <w:bookmarkEnd w:id="29"/>
      <w:bookmarkEnd w:id="30"/>
      <w:r w:rsidRPr="00C419B9">
        <w:rPr>
          <w:rFonts w:ascii="Calibri" w:hAnsi="Calibri" w:cs="Calibri"/>
          <w:b/>
          <w:sz w:val="22"/>
          <w:szCs w:val="22"/>
        </w:rPr>
        <w:t>Literature Review</w:t>
      </w:r>
      <w:bookmarkEnd w:id="7"/>
      <w:bookmarkEnd w:id="8"/>
      <w:bookmarkEnd w:id="31"/>
    </w:p>
    <w:p w14:paraId="36165FA8" w14:textId="5DC1EA8F"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To address the research question, the literature review analyses research concerning the role of SCDPs</w:t>
      </w:r>
      <w:r w:rsidR="00E84AA9" w:rsidRPr="00C419B9">
        <w:rPr>
          <w:rFonts w:ascii="Calibri" w:hAnsi="Calibri" w:cs="Calibri"/>
          <w:sz w:val="22"/>
          <w:szCs w:val="22"/>
        </w:rPr>
        <w:t xml:space="preserve"> guiding students within the VET sector</w:t>
      </w:r>
      <w:r w:rsidRPr="00C419B9">
        <w:rPr>
          <w:rFonts w:ascii="Calibri" w:hAnsi="Calibri" w:cs="Calibri"/>
          <w:sz w:val="22"/>
          <w:szCs w:val="22"/>
        </w:rPr>
        <w:t xml:space="preserve">. </w:t>
      </w:r>
    </w:p>
    <w:p w14:paraId="2AB1E455" w14:textId="31355DAF" w:rsidR="00F17101" w:rsidRPr="00C419B9" w:rsidRDefault="00F17101" w:rsidP="007715EE">
      <w:pPr>
        <w:spacing w:line="360" w:lineRule="auto"/>
        <w:ind w:firstLine="0"/>
        <w:jc w:val="both"/>
        <w:rPr>
          <w:rFonts w:ascii="Calibri" w:hAnsi="Calibri" w:cs="Calibri"/>
          <w:sz w:val="22"/>
          <w:szCs w:val="22"/>
        </w:rPr>
      </w:pPr>
      <w:bookmarkStart w:id="32" w:name="_Toc155779312"/>
      <w:r w:rsidRPr="00C419B9">
        <w:rPr>
          <w:rFonts w:ascii="Calibri" w:hAnsi="Calibri" w:cs="Calibri"/>
          <w:sz w:val="22"/>
          <w:szCs w:val="22"/>
        </w:rPr>
        <w:lastRenderedPageBreak/>
        <w:t xml:space="preserve">Career guidance in schools is broader than just the provision of career information. Goals of career guidance include imparting the principles of lifelong learning to students </w:t>
      </w:r>
      <w:r w:rsidR="007232C8" w:rsidRPr="00C419B9">
        <w:rPr>
          <w:rFonts w:ascii="Calibri" w:hAnsi="Calibri" w:cs="Calibri"/>
          <w:noProof/>
          <w:sz w:val="22"/>
          <w:szCs w:val="22"/>
        </w:rPr>
        <w:t>(Keele et al., 2020)</w:t>
      </w:r>
      <w:r w:rsidRPr="00C419B9">
        <w:rPr>
          <w:rFonts w:ascii="Calibri" w:hAnsi="Calibri" w:cs="Calibri"/>
          <w:sz w:val="22"/>
          <w:szCs w:val="22"/>
        </w:rPr>
        <w:t xml:space="preserve"> and to support students to develop their own career narratives </w:t>
      </w:r>
      <w:r w:rsidR="007232C8" w:rsidRPr="00C419B9">
        <w:rPr>
          <w:rFonts w:ascii="Calibri" w:hAnsi="Calibri" w:cs="Calibri"/>
          <w:noProof/>
          <w:sz w:val="22"/>
          <w:szCs w:val="22"/>
        </w:rPr>
        <w:t>(Brott, 2015)</w:t>
      </w:r>
      <w:r w:rsidRPr="00C419B9">
        <w:rPr>
          <w:rFonts w:ascii="Calibri" w:hAnsi="Calibri" w:cs="Calibri"/>
          <w:sz w:val="22"/>
          <w:szCs w:val="22"/>
        </w:rPr>
        <w:t>. The interaction that the SCDP has with a student may impact on the provision of career guidance, which is a central tenet of vocational psychology.</w:t>
      </w:r>
    </w:p>
    <w:p w14:paraId="3CC38F5E" w14:textId="3FFE0F8D" w:rsidR="00F17101" w:rsidRPr="00C419B9" w:rsidRDefault="00F17101" w:rsidP="007715EE">
      <w:pPr>
        <w:spacing w:line="360" w:lineRule="auto"/>
        <w:ind w:firstLine="0"/>
        <w:jc w:val="both"/>
        <w:rPr>
          <w:rFonts w:ascii="Calibri" w:hAnsi="Calibri" w:cs="Calibri"/>
          <w:b/>
          <w:bCs/>
          <w:i/>
          <w:iCs/>
          <w:sz w:val="22"/>
          <w:szCs w:val="22"/>
        </w:rPr>
      </w:pPr>
      <w:bookmarkStart w:id="33" w:name="_Toc188210596"/>
      <w:bookmarkEnd w:id="32"/>
      <w:r w:rsidRPr="00C419B9">
        <w:rPr>
          <w:rFonts w:ascii="Calibri" w:hAnsi="Calibri" w:cs="Calibri"/>
          <w:b/>
          <w:i/>
          <w:iCs/>
          <w:sz w:val="22"/>
          <w:szCs w:val="22"/>
        </w:rPr>
        <w:t>The Changing World of Work</w:t>
      </w:r>
      <w:bookmarkEnd w:id="33"/>
    </w:p>
    <w:p w14:paraId="1A0BB103" w14:textId="099152E5"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literature is plentiful regarding how the changing labour market information influences students’ choice of pursuing VET STEM careers </w:t>
      </w:r>
      <w:r w:rsidR="007232C8" w:rsidRPr="00C419B9">
        <w:rPr>
          <w:rFonts w:ascii="Calibri" w:hAnsi="Calibri" w:cs="Calibri"/>
          <w:noProof/>
          <w:sz w:val="22"/>
          <w:szCs w:val="22"/>
        </w:rPr>
        <w:t>(Borland &amp; Charlton, 2020; Vaitekaitis, 2020)</w:t>
      </w:r>
      <w:r w:rsidRPr="00C419B9">
        <w:rPr>
          <w:rFonts w:ascii="Calibri" w:hAnsi="Calibri" w:cs="Calibri"/>
          <w:sz w:val="22"/>
          <w:szCs w:val="22"/>
        </w:rPr>
        <w:t xml:space="preserve">. The provision of labour market information is reliant on the qualities of the SCDP, in terms of their career adaptability, and how this influences their orientation to providing current and accurate career guidance. The changing world of work includes trends apparent when undertaking post-compulsory school education. VET qualifications are highly valuable for students pursuing STEM careers, due to the practical skill development, as the hands-on skills learnt are transferable to realistic careers </w:t>
      </w:r>
      <w:r w:rsidR="007232C8" w:rsidRPr="00C419B9">
        <w:rPr>
          <w:rFonts w:ascii="Calibri" w:hAnsi="Calibri" w:cs="Calibri"/>
          <w:noProof/>
          <w:sz w:val="22"/>
          <w:szCs w:val="22"/>
        </w:rPr>
        <w:t>(Xia et al., 2024)</w:t>
      </w:r>
      <w:r w:rsidRPr="00C419B9">
        <w:rPr>
          <w:rFonts w:ascii="Calibri" w:hAnsi="Calibri" w:cs="Calibri"/>
          <w:sz w:val="22"/>
          <w:szCs w:val="22"/>
        </w:rPr>
        <w:t xml:space="preserve">. Through providing real-world skills, students are industry-ready once they have completed their training </w:t>
      </w:r>
      <w:r w:rsidR="007232C8" w:rsidRPr="00C419B9">
        <w:rPr>
          <w:rFonts w:ascii="Calibri" w:hAnsi="Calibri" w:cs="Calibri"/>
          <w:noProof/>
          <w:sz w:val="22"/>
          <w:szCs w:val="22"/>
        </w:rPr>
        <w:t>(Le et al., 2023)</w:t>
      </w:r>
      <w:r w:rsidRPr="00C419B9">
        <w:rPr>
          <w:rFonts w:ascii="Calibri" w:hAnsi="Calibri" w:cs="Calibri"/>
          <w:sz w:val="22"/>
          <w:szCs w:val="22"/>
        </w:rPr>
        <w:t xml:space="preserve">, specifically for those students where their VET qualification includes a workplace-based learning component </w:t>
      </w:r>
      <w:r w:rsidR="007232C8" w:rsidRPr="00C419B9">
        <w:rPr>
          <w:rFonts w:ascii="Calibri" w:hAnsi="Calibri" w:cs="Calibri"/>
          <w:noProof/>
          <w:sz w:val="22"/>
          <w:szCs w:val="22"/>
        </w:rPr>
        <w:t>(Li et al., 2022)</w:t>
      </w:r>
      <w:r w:rsidRPr="00C419B9">
        <w:rPr>
          <w:rFonts w:ascii="Calibri" w:hAnsi="Calibri" w:cs="Calibri"/>
          <w:sz w:val="22"/>
          <w:szCs w:val="22"/>
        </w:rPr>
        <w:t xml:space="preserve">. </w:t>
      </w:r>
    </w:p>
    <w:p w14:paraId="0F9BD15D" w14:textId="77777777" w:rsidR="00A02446" w:rsidRPr="00C419B9" w:rsidRDefault="00F17101" w:rsidP="007715EE">
      <w:pPr>
        <w:spacing w:line="360" w:lineRule="auto"/>
        <w:ind w:firstLine="0"/>
        <w:jc w:val="both"/>
        <w:rPr>
          <w:rFonts w:ascii="Calibri" w:hAnsi="Calibri" w:cs="Calibri"/>
          <w:iCs/>
          <w:sz w:val="22"/>
          <w:szCs w:val="22"/>
        </w:rPr>
      </w:pPr>
      <w:r w:rsidRPr="00C419B9">
        <w:rPr>
          <w:rStyle w:val="Heading4Char"/>
          <w:rFonts w:ascii="Calibri" w:hAnsi="Calibri" w:cs="Calibri"/>
          <w:iCs w:val="0"/>
          <w:sz w:val="22"/>
          <w:szCs w:val="22"/>
        </w:rPr>
        <w:t>VET Trainer Qualifications</w:t>
      </w:r>
      <w:r w:rsidRPr="00C419B9">
        <w:rPr>
          <w:rFonts w:ascii="Calibri" w:hAnsi="Calibri" w:cs="Calibri"/>
          <w:iCs/>
          <w:sz w:val="22"/>
          <w:szCs w:val="22"/>
        </w:rPr>
        <w:t xml:space="preserve">. </w:t>
      </w:r>
    </w:p>
    <w:p w14:paraId="35152F16" w14:textId="5B59659B" w:rsidR="00F17101" w:rsidRPr="00C419B9" w:rsidRDefault="00F17101" w:rsidP="007715EE">
      <w:pPr>
        <w:spacing w:line="360" w:lineRule="auto"/>
        <w:ind w:firstLine="0"/>
        <w:jc w:val="both"/>
        <w:rPr>
          <w:rFonts w:ascii="Calibri" w:hAnsi="Calibri" w:cs="Calibri"/>
          <w:iCs/>
          <w:sz w:val="22"/>
          <w:szCs w:val="22"/>
        </w:rPr>
      </w:pPr>
      <w:r w:rsidRPr="00C419B9">
        <w:rPr>
          <w:rFonts w:ascii="Calibri" w:hAnsi="Calibri" w:cs="Calibri"/>
          <w:iCs/>
          <w:sz w:val="22"/>
          <w:szCs w:val="22"/>
        </w:rPr>
        <w:t>For a teacher/trainer to work in the VET sector, either within a school or within a VET institution, there are additional requirements than for those teachers working in the secondary education sector alone. When delivering accredited training, the VET trainer must have obtained a qualification at least one AQF level above that level within which they are delivering training. Attainment of a TAE40122 Certificate IV in Training and Assessment (</w:t>
      </w:r>
      <w:r w:rsidR="00715929" w:rsidRPr="00C419B9">
        <w:rPr>
          <w:rFonts w:ascii="Calibri" w:hAnsi="Calibri" w:cs="Calibri"/>
          <w:iCs/>
          <w:sz w:val="22"/>
          <w:szCs w:val="22"/>
        </w:rPr>
        <w:t>or alternative</w:t>
      </w:r>
      <w:r w:rsidRPr="00C419B9">
        <w:rPr>
          <w:rFonts w:ascii="Calibri" w:hAnsi="Calibri" w:cs="Calibri"/>
          <w:iCs/>
          <w:sz w:val="22"/>
          <w:szCs w:val="22"/>
        </w:rPr>
        <w:t xml:space="preserve">) is required, irrespective of any higher education/teaching degrees. </w:t>
      </w:r>
    </w:p>
    <w:p w14:paraId="23DED1E4" w14:textId="77777777" w:rsidR="00A02446" w:rsidRPr="00C419B9" w:rsidRDefault="00F17101" w:rsidP="007715EE">
      <w:pPr>
        <w:spacing w:line="360" w:lineRule="auto"/>
        <w:ind w:firstLine="0"/>
        <w:jc w:val="both"/>
        <w:rPr>
          <w:rStyle w:val="Heading4Char"/>
          <w:rFonts w:ascii="Calibri" w:hAnsi="Calibri" w:cs="Calibri"/>
          <w:sz w:val="22"/>
          <w:szCs w:val="22"/>
        </w:rPr>
      </w:pPr>
      <w:r w:rsidRPr="00C419B9">
        <w:rPr>
          <w:rStyle w:val="Heading4Char"/>
          <w:rFonts w:ascii="Calibri" w:hAnsi="Calibri" w:cs="Calibri"/>
          <w:sz w:val="22"/>
          <w:szCs w:val="22"/>
        </w:rPr>
        <w:t xml:space="preserve">TAE40122 Certificate IV in Training and Assessment. </w:t>
      </w:r>
    </w:p>
    <w:p w14:paraId="387E0DCF" w14:textId="1B44121E" w:rsidR="00F17101" w:rsidRPr="00C419B9" w:rsidRDefault="00A02446" w:rsidP="007715EE">
      <w:pPr>
        <w:spacing w:line="360" w:lineRule="auto"/>
        <w:ind w:firstLine="0"/>
        <w:jc w:val="both"/>
        <w:rPr>
          <w:rFonts w:ascii="Calibri" w:hAnsi="Calibri" w:cs="Calibri"/>
          <w:sz w:val="22"/>
          <w:szCs w:val="22"/>
        </w:rPr>
      </w:pPr>
      <w:r w:rsidRPr="00C419B9">
        <w:rPr>
          <w:rFonts w:ascii="Calibri" w:hAnsi="Calibri" w:cs="Calibri"/>
          <w:sz w:val="22"/>
          <w:szCs w:val="22"/>
        </w:rPr>
        <w:t>Th</w:t>
      </w:r>
      <w:r w:rsidR="00F17101" w:rsidRPr="00C419B9">
        <w:rPr>
          <w:rFonts w:ascii="Calibri" w:hAnsi="Calibri" w:cs="Calibri"/>
          <w:sz w:val="22"/>
          <w:szCs w:val="22"/>
        </w:rPr>
        <w:t>e TAE40122 has been developed by industry. As with all accredited VET qualifications, the training package developers stipulate what content must be delivered, to ensure that every registered training organisation in Australasia who delivers this qualification is delivering the same content. There is a standardisation in the qualification delivery, irrespective of where it is completed. Completion of the TAE40122 is currently 12 units of competency, which has a volume of training (the average completion time) of six months to two years. A review of the literature was scant in identifying whether this qualification is appropriate for teachers or trainers.</w:t>
      </w:r>
    </w:p>
    <w:p w14:paraId="122291F5" w14:textId="77777777" w:rsidR="00CA65B2" w:rsidRPr="00C419B9" w:rsidRDefault="00F17101" w:rsidP="007715EE">
      <w:pPr>
        <w:spacing w:line="360" w:lineRule="auto"/>
        <w:ind w:firstLine="0"/>
        <w:jc w:val="both"/>
        <w:rPr>
          <w:rFonts w:ascii="Calibri" w:hAnsi="Calibri" w:cs="Calibri"/>
          <w:b/>
          <w:bCs/>
          <w:i/>
          <w:iCs/>
          <w:sz w:val="22"/>
          <w:szCs w:val="22"/>
        </w:rPr>
      </w:pPr>
      <w:r w:rsidRPr="00C419B9">
        <w:rPr>
          <w:rFonts w:ascii="Calibri" w:hAnsi="Calibri" w:cs="Calibri"/>
          <w:b/>
          <w:i/>
          <w:iCs/>
          <w:sz w:val="22"/>
          <w:szCs w:val="22"/>
        </w:rPr>
        <w:t>Consistent, Current, Authentic and Accurate Career Guidance</w:t>
      </w:r>
      <w:r w:rsidR="00A54C23" w:rsidRPr="00C419B9">
        <w:rPr>
          <w:rFonts w:ascii="Calibri" w:hAnsi="Calibri" w:cs="Calibri"/>
          <w:b/>
          <w:bCs/>
          <w:i/>
          <w:iCs/>
          <w:sz w:val="22"/>
          <w:szCs w:val="22"/>
        </w:rPr>
        <w:t xml:space="preserve">. </w:t>
      </w:r>
    </w:p>
    <w:p w14:paraId="726BCA63" w14:textId="22D64BB1" w:rsidR="00A54C23" w:rsidRPr="00C419B9" w:rsidRDefault="00A54C23" w:rsidP="007715EE">
      <w:pPr>
        <w:spacing w:line="360" w:lineRule="auto"/>
        <w:ind w:firstLine="0"/>
        <w:jc w:val="both"/>
        <w:rPr>
          <w:rFonts w:ascii="Calibri" w:hAnsi="Calibri" w:cs="Calibri"/>
          <w:b/>
          <w:bCs/>
          <w:i/>
          <w:iCs/>
          <w:sz w:val="22"/>
          <w:szCs w:val="22"/>
        </w:rPr>
      </w:pPr>
      <w:r w:rsidRPr="00C419B9">
        <w:rPr>
          <w:rFonts w:ascii="Calibri" w:hAnsi="Calibri" w:cs="Calibri"/>
          <w:iCs/>
          <w:sz w:val="22"/>
          <w:szCs w:val="22"/>
        </w:rPr>
        <w:t xml:space="preserve">Maintaining vocational competency and currency is required for every VET trainer, which involves the completion of professional development activities, and maintaining current work experience in that </w:t>
      </w:r>
      <w:r w:rsidRPr="00C419B9">
        <w:rPr>
          <w:rFonts w:ascii="Calibri" w:hAnsi="Calibri" w:cs="Calibri"/>
          <w:iCs/>
          <w:sz w:val="22"/>
          <w:szCs w:val="22"/>
        </w:rPr>
        <w:lastRenderedPageBreak/>
        <w:t>industry. This is identified as a strength of the VET sector, where the school and higher education sectors do not require vocational competency and currency. A VET trainer must provide evidence of qualifications, experience, vocational competency and currency, and other requirements (such as registration with professional bodies) for every unit of competency (subject) that they train and assess.</w:t>
      </w:r>
    </w:p>
    <w:p w14:paraId="60B9D30E" w14:textId="1EFD1729" w:rsidR="00F17101" w:rsidRPr="00C419B9" w:rsidRDefault="00F17101" w:rsidP="007715EE">
      <w:pPr>
        <w:spacing w:line="360" w:lineRule="auto"/>
        <w:ind w:firstLine="0"/>
        <w:jc w:val="both"/>
        <w:rPr>
          <w:rFonts w:ascii="Calibri" w:hAnsi="Calibri" w:cs="Calibri"/>
          <w:b/>
          <w:bCs/>
          <w:i/>
          <w:iCs/>
          <w:sz w:val="22"/>
          <w:szCs w:val="22"/>
        </w:rPr>
      </w:pPr>
      <w:bookmarkStart w:id="34" w:name="_Toc155779321"/>
      <w:bookmarkStart w:id="35" w:name="_Toc188210606"/>
      <w:r w:rsidRPr="00C419B9">
        <w:rPr>
          <w:rFonts w:ascii="Calibri" w:hAnsi="Calibri" w:cs="Calibri"/>
          <w:b/>
          <w:i/>
          <w:iCs/>
          <w:sz w:val="22"/>
          <w:szCs w:val="22"/>
        </w:rPr>
        <w:t>View of Vocational Education and Training</w:t>
      </w:r>
      <w:bookmarkEnd w:id="34"/>
      <w:bookmarkEnd w:id="35"/>
    </w:p>
    <w:p w14:paraId="53E29FC5" w14:textId="23B91C0A"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VET sector provides training in many disciplines, offering qualifications from Certificate I to Advanced Diploma levels </w:t>
      </w:r>
      <w:r w:rsidRPr="00C419B9">
        <w:rPr>
          <w:rFonts w:ascii="Calibri" w:hAnsi="Calibri" w:cs="Calibri"/>
          <w:noProof/>
          <w:sz w:val="22"/>
          <w:szCs w:val="22"/>
        </w:rPr>
        <w:t>(</w:t>
      </w:r>
      <w:r w:rsidRPr="00C419B9">
        <w:rPr>
          <w:rFonts w:ascii="Calibri" w:hAnsi="Calibri" w:cs="Calibri"/>
          <w:sz w:val="22"/>
          <w:szCs w:val="22"/>
        </w:rPr>
        <w:t>Australian Qualifications Framework Council, 2024</w:t>
      </w:r>
      <w:r w:rsidRPr="00C419B9">
        <w:rPr>
          <w:rFonts w:ascii="Calibri" w:hAnsi="Calibri" w:cs="Calibri"/>
          <w:noProof/>
          <w:sz w:val="22"/>
          <w:szCs w:val="22"/>
        </w:rPr>
        <w:t>)</w:t>
      </w:r>
      <w:r w:rsidRPr="00C419B9">
        <w:rPr>
          <w:rFonts w:ascii="Calibri" w:hAnsi="Calibri" w:cs="Calibri"/>
          <w:sz w:val="22"/>
          <w:szCs w:val="22"/>
        </w:rPr>
        <w:t xml:space="preserve">. Studying in the VET sector is often used as a pathway to further studies in higher education, primarily into university. However, VET struggles to achieve parity of status with the university sector </w:t>
      </w:r>
      <w:r w:rsidR="007232C8" w:rsidRPr="00C419B9">
        <w:rPr>
          <w:rFonts w:ascii="Calibri" w:hAnsi="Calibri" w:cs="Calibri"/>
          <w:noProof/>
          <w:sz w:val="22"/>
          <w:szCs w:val="22"/>
        </w:rPr>
        <w:t>(Choy et al., 2021)</w:t>
      </w:r>
      <w:r w:rsidRPr="00C419B9">
        <w:rPr>
          <w:rFonts w:ascii="Calibri" w:hAnsi="Calibri" w:cs="Calibri"/>
          <w:sz w:val="22"/>
          <w:szCs w:val="22"/>
        </w:rPr>
        <w:t xml:space="preserve">. The Australian VET sector has been referred to being the “poor cousin” to the higher education sector </w:t>
      </w:r>
      <w:r w:rsidR="007232C8" w:rsidRPr="00C419B9">
        <w:rPr>
          <w:rFonts w:ascii="Calibri" w:hAnsi="Calibri" w:cs="Calibri"/>
          <w:noProof/>
          <w:sz w:val="22"/>
          <w:szCs w:val="22"/>
        </w:rPr>
        <w:t>(Harris, 2015)</w:t>
      </w:r>
      <w:r w:rsidRPr="00C419B9">
        <w:rPr>
          <w:rFonts w:ascii="Calibri" w:hAnsi="Calibri" w:cs="Calibri"/>
          <w:sz w:val="22"/>
          <w:szCs w:val="22"/>
        </w:rPr>
        <w:t xml:space="preserve">, 2015). Parents encourage their children to attend university instead of the VET sector </w:t>
      </w:r>
      <w:r w:rsidR="007232C8" w:rsidRPr="00C419B9">
        <w:rPr>
          <w:rFonts w:ascii="Calibri" w:hAnsi="Calibri" w:cs="Calibri"/>
          <w:noProof/>
          <w:sz w:val="22"/>
          <w:szCs w:val="22"/>
        </w:rPr>
        <w:t>(Ackehurst et al., 2022)</w:t>
      </w:r>
      <w:r w:rsidRPr="00C419B9">
        <w:rPr>
          <w:rFonts w:ascii="Calibri" w:hAnsi="Calibri" w:cs="Calibri"/>
          <w:sz w:val="22"/>
          <w:szCs w:val="22"/>
        </w:rPr>
        <w:t xml:space="preserve">, and teachers view the VET sector as a ‘back door’ option by teachers for students who do not achieve high grades </w:t>
      </w:r>
      <w:r w:rsidR="007232C8" w:rsidRPr="00C419B9">
        <w:rPr>
          <w:rFonts w:ascii="Calibri" w:hAnsi="Calibri" w:cs="Calibri"/>
          <w:noProof/>
          <w:sz w:val="22"/>
          <w:szCs w:val="22"/>
        </w:rPr>
        <w:t>(Walker, 2019, p. 9)</w:t>
      </w:r>
      <w:r w:rsidRPr="00C419B9">
        <w:rPr>
          <w:rFonts w:ascii="Calibri" w:hAnsi="Calibri" w:cs="Calibri"/>
          <w:sz w:val="22"/>
          <w:szCs w:val="22"/>
        </w:rPr>
        <w:t xml:space="preserve">, identified as an alternative view of VET in the present study. Similar observations have been made in other countries where TVET </w:t>
      </w:r>
      <w:r w:rsidR="007232C8" w:rsidRPr="00C419B9">
        <w:rPr>
          <w:rFonts w:ascii="Calibri" w:hAnsi="Calibri" w:cs="Calibri"/>
          <w:noProof/>
          <w:sz w:val="22"/>
          <w:szCs w:val="22"/>
        </w:rPr>
        <w:t>(UNESCO-UNEVOC, 2018)</w:t>
      </w:r>
      <w:r w:rsidRPr="00C419B9">
        <w:rPr>
          <w:rFonts w:ascii="Calibri" w:hAnsi="Calibri" w:cs="Calibri"/>
          <w:sz w:val="22"/>
          <w:szCs w:val="22"/>
        </w:rPr>
        <w:t xml:space="preserve"> has a lower standing than higher education. </w:t>
      </w:r>
    </w:p>
    <w:p w14:paraId="10AAA46E"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A thorough review of the literature to improve the perception of VET, including international perspectives, forms part of the present study to determine whether these strategies can be implemented in Australia. Li, Tien et al. </w:t>
      </w:r>
      <w:r w:rsidRPr="00C419B9">
        <w:rPr>
          <w:rFonts w:ascii="Calibri" w:hAnsi="Calibri" w:cs="Calibri"/>
          <w:noProof/>
          <w:sz w:val="22"/>
          <w:szCs w:val="22"/>
        </w:rPr>
        <w:t>(</w:t>
      </w:r>
      <w:r w:rsidRPr="00C419B9">
        <w:rPr>
          <w:rFonts w:ascii="Calibri" w:hAnsi="Calibri" w:cs="Calibri"/>
          <w:sz w:val="22"/>
          <w:szCs w:val="22"/>
        </w:rPr>
        <w:t>2022</w:t>
      </w:r>
      <w:r w:rsidRPr="00C419B9">
        <w:rPr>
          <w:rFonts w:ascii="Calibri" w:hAnsi="Calibri" w:cs="Calibri"/>
          <w:noProof/>
          <w:sz w:val="22"/>
          <w:szCs w:val="22"/>
        </w:rPr>
        <w:t>)</w:t>
      </w:r>
      <w:r w:rsidRPr="00C419B9">
        <w:rPr>
          <w:rFonts w:ascii="Calibri" w:hAnsi="Calibri" w:cs="Calibri"/>
          <w:sz w:val="22"/>
          <w:szCs w:val="22"/>
        </w:rPr>
        <w:t xml:space="preserve"> researched how students’ career adaptability is affected by social support. They highlighted that VET is a significant part of Chinese higher education, as “</w:t>
      </w:r>
      <w:r w:rsidRPr="00C419B9">
        <w:rPr>
          <w:rFonts w:ascii="Calibri" w:hAnsi="Calibri" w:cs="Calibri"/>
          <w:i/>
          <w:iCs/>
          <w:sz w:val="22"/>
          <w:szCs w:val="22"/>
        </w:rPr>
        <w:t>the fundamental goal of vocational education is to train applied talents with professional knowledge and practical skills, especially actual workability, which is also a manifestation of the difference between vocational education and general university education</w:t>
      </w:r>
      <w:r w:rsidRPr="00C419B9">
        <w:rPr>
          <w:rFonts w:ascii="Calibri" w:hAnsi="Calibri" w:cs="Calibri"/>
          <w:sz w:val="22"/>
          <w:szCs w:val="22"/>
        </w:rPr>
        <w:t xml:space="preserve">,” </w:t>
      </w:r>
      <w:r w:rsidRPr="00C419B9">
        <w:rPr>
          <w:rFonts w:ascii="Calibri" w:hAnsi="Calibri" w:cs="Calibri"/>
          <w:noProof/>
          <w:sz w:val="22"/>
          <w:szCs w:val="22"/>
        </w:rPr>
        <w:t>(</w:t>
      </w:r>
      <w:r w:rsidRPr="00C419B9">
        <w:rPr>
          <w:rFonts w:ascii="Calibri" w:hAnsi="Calibri" w:cs="Calibri"/>
          <w:sz w:val="22"/>
          <w:szCs w:val="22"/>
        </w:rPr>
        <w:t>Li, Tien et al., 2022, p. 3</w:t>
      </w:r>
      <w:r w:rsidRPr="00C419B9">
        <w:rPr>
          <w:rFonts w:ascii="Calibri" w:hAnsi="Calibri" w:cs="Calibri"/>
          <w:noProof/>
          <w:sz w:val="22"/>
          <w:szCs w:val="22"/>
        </w:rPr>
        <w:t>)</w:t>
      </w:r>
      <w:r w:rsidRPr="00C419B9">
        <w:rPr>
          <w:rFonts w:ascii="Calibri" w:hAnsi="Calibri" w:cs="Calibri"/>
          <w:sz w:val="22"/>
          <w:szCs w:val="22"/>
        </w:rPr>
        <w:t xml:space="preserve">. This quotation illustrates that the view of VET varies among populations struggles for parity between sectors, not dominance. Li, Tien et al. </w:t>
      </w:r>
      <w:r w:rsidRPr="00C419B9">
        <w:rPr>
          <w:rFonts w:ascii="Calibri" w:hAnsi="Calibri" w:cs="Calibri"/>
          <w:noProof/>
          <w:sz w:val="22"/>
          <w:szCs w:val="22"/>
        </w:rPr>
        <w:t>(</w:t>
      </w:r>
      <w:r w:rsidRPr="00C419B9">
        <w:rPr>
          <w:rFonts w:ascii="Calibri" w:hAnsi="Calibri" w:cs="Calibri"/>
          <w:sz w:val="22"/>
          <w:szCs w:val="22"/>
        </w:rPr>
        <w:t>2022</w:t>
      </w:r>
      <w:r w:rsidRPr="00C419B9">
        <w:rPr>
          <w:rFonts w:ascii="Calibri" w:hAnsi="Calibri" w:cs="Calibri"/>
          <w:noProof/>
          <w:sz w:val="22"/>
          <w:szCs w:val="22"/>
        </w:rPr>
        <w:t>)</w:t>
      </w:r>
      <w:r w:rsidRPr="00C419B9">
        <w:rPr>
          <w:rFonts w:ascii="Calibri" w:hAnsi="Calibri" w:cs="Calibri"/>
          <w:sz w:val="22"/>
          <w:szCs w:val="22"/>
        </w:rPr>
        <w:t xml:space="preserve"> identified that few studies have focused on VET students’ career adaptability, indicating a need for further research to support their successful transition to the workforce.</w:t>
      </w:r>
    </w:p>
    <w:p w14:paraId="076CDEEA" w14:textId="4FBFA9C4"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Students pursuing a VET pathway post-compulsory schooling may complete a nationally recognised qualification whilst still at school, either within the school environment or at a VET institution</w:t>
      </w:r>
      <w:r w:rsidR="001D42E9" w:rsidRPr="00C419B9">
        <w:rPr>
          <w:rFonts w:ascii="Calibri" w:hAnsi="Calibri" w:cs="Calibri"/>
          <w:sz w:val="22"/>
          <w:szCs w:val="22"/>
        </w:rPr>
        <w:t>.</w:t>
      </w:r>
      <w:r w:rsidRPr="00C419B9">
        <w:rPr>
          <w:rFonts w:ascii="Calibri" w:hAnsi="Calibri" w:cs="Calibri"/>
          <w:sz w:val="22"/>
          <w:szCs w:val="22"/>
        </w:rPr>
        <w:t xml:space="preserve"> This includes work experience as part of obtaining their VET qualification. Additionally, school students may also have part-time jobs, and may partake in formal work experience programs through their schools.</w:t>
      </w:r>
    </w:p>
    <w:p w14:paraId="32D6A302" w14:textId="71CD1C7E" w:rsidR="00F17101" w:rsidRPr="00C419B9" w:rsidRDefault="009E7447"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In 2023, a </w:t>
      </w:r>
      <w:r w:rsidR="00F17101" w:rsidRPr="00C419B9">
        <w:rPr>
          <w:rFonts w:ascii="Calibri" w:hAnsi="Calibri" w:cs="Calibri"/>
          <w:sz w:val="22"/>
          <w:szCs w:val="22"/>
        </w:rPr>
        <w:t xml:space="preserve">VCE-VM </w:t>
      </w:r>
      <w:r w:rsidR="00EF6724" w:rsidRPr="00C419B9">
        <w:rPr>
          <w:rFonts w:ascii="Calibri" w:hAnsi="Calibri" w:cs="Calibri"/>
          <w:sz w:val="22"/>
          <w:szCs w:val="22"/>
        </w:rPr>
        <w:t xml:space="preserve">(Victorian Certificate of Education- Vocational Major) </w:t>
      </w:r>
      <w:r w:rsidR="00F17101" w:rsidRPr="00C419B9">
        <w:rPr>
          <w:rFonts w:ascii="Calibri" w:hAnsi="Calibri" w:cs="Calibri"/>
          <w:sz w:val="22"/>
          <w:szCs w:val="22"/>
        </w:rPr>
        <w:t>pathway</w:t>
      </w:r>
      <w:r w:rsidR="00EF6724" w:rsidRPr="00C419B9">
        <w:rPr>
          <w:rFonts w:ascii="Calibri" w:hAnsi="Calibri" w:cs="Calibri"/>
          <w:sz w:val="22"/>
          <w:szCs w:val="22"/>
        </w:rPr>
        <w:t xml:space="preserve"> was developed. The impetus was for Victorian school students to complete the </w:t>
      </w:r>
      <w:r w:rsidR="008D5CF8" w:rsidRPr="00C419B9">
        <w:rPr>
          <w:rFonts w:ascii="Calibri" w:hAnsi="Calibri" w:cs="Calibri"/>
          <w:sz w:val="22"/>
          <w:szCs w:val="22"/>
        </w:rPr>
        <w:t>Victorian Certificate of Education</w:t>
      </w:r>
      <w:r w:rsidR="004B44E3" w:rsidRPr="00C419B9">
        <w:rPr>
          <w:rFonts w:ascii="Calibri" w:hAnsi="Calibri" w:cs="Calibri"/>
          <w:sz w:val="22"/>
          <w:szCs w:val="22"/>
        </w:rPr>
        <w:t xml:space="preserve"> (VCE)</w:t>
      </w:r>
      <w:r w:rsidR="00F17101" w:rsidRPr="00C419B9">
        <w:rPr>
          <w:rFonts w:ascii="Calibri" w:hAnsi="Calibri" w:cs="Calibri"/>
          <w:sz w:val="22"/>
          <w:szCs w:val="22"/>
        </w:rPr>
        <w:t xml:space="preserve">, </w:t>
      </w:r>
      <w:r w:rsidR="008D5CF8" w:rsidRPr="00C419B9">
        <w:rPr>
          <w:rFonts w:ascii="Calibri" w:hAnsi="Calibri" w:cs="Calibri"/>
          <w:sz w:val="22"/>
          <w:szCs w:val="22"/>
        </w:rPr>
        <w:t xml:space="preserve">the certification of a student completing thirteen years of school, with a non-academic pathway, the Vocational Major. This </w:t>
      </w:r>
      <w:r w:rsidR="000027C6" w:rsidRPr="00C419B9">
        <w:rPr>
          <w:rFonts w:ascii="Calibri" w:hAnsi="Calibri" w:cs="Calibri"/>
          <w:sz w:val="22"/>
          <w:szCs w:val="22"/>
        </w:rPr>
        <w:t xml:space="preserve">pathway is for a student which </w:t>
      </w:r>
      <w:r w:rsidR="008D5CF8" w:rsidRPr="00C419B9">
        <w:rPr>
          <w:rFonts w:ascii="Calibri" w:hAnsi="Calibri" w:cs="Calibri"/>
          <w:sz w:val="22"/>
          <w:szCs w:val="22"/>
        </w:rPr>
        <w:t xml:space="preserve">includes completing a VET qualification whilst </w:t>
      </w:r>
      <w:r w:rsidR="008D5CF8" w:rsidRPr="00C419B9">
        <w:rPr>
          <w:rFonts w:ascii="Calibri" w:hAnsi="Calibri" w:cs="Calibri"/>
          <w:sz w:val="22"/>
          <w:szCs w:val="22"/>
        </w:rPr>
        <w:lastRenderedPageBreak/>
        <w:t>still completing their schooling. T</w:t>
      </w:r>
      <w:r w:rsidR="00F17101" w:rsidRPr="00C419B9">
        <w:rPr>
          <w:rFonts w:ascii="Calibri" w:hAnsi="Calibri" w:cs="Calibri"/>
          <w:sz w:val="22"/>
          <w:szCs w:val="22"/>
        </w:rPr>
        <w:t xml:space="preserve">here is limited literature on how perceptions of VET have changed in schools, since this alternative to the VCE has been implemented. </w:t>
      </w:r>
      <w:proofErr w:type="spellStart"/>
      <w:r w:rsidR="00F17101" w:rsidRPr="00C419B9">
        <w:rPr>
          <w:rFonts w:ascii="Calibri" w:hAnsi="Calibri" w:cs="Calibri"/>
          <w:sz w:val="22"/>
          <w:szCs w:val="22"/>
        </w:rPr>
        <w:t>Fogelgarn</w:t>
      </w:r>
      <w:proofErr w:type="spellEnd"/>
      <w:r w:rsidR="00F17101" w:rsidRPr="00C419B9">
        <w:rPr>
          <w:rFonts w:ascii="Calibri" w:hAnsi="Calibri" w:cs="Calibri"/>
          <w:sz w:val="22"/>
          <w:szCs w:val="22"/>
        </w:rPr>
        <w:t xml:space="preserve"> et al. </w:t>
      </w:r>
      <w:r w:rsidR="007232C8" w:rsidRPr="00C419B9">
        <w:rPr>
          <w:rFonts w:ascii="Calibri" w:hAnsi="Calibri" w:cs="Calibri"/>
          <w:noProof/>
          <w:sz w:val="22"/>
          <w:szCs w:val="22"/>
        </w:rPr>
        <w:t>(2024)</w:t>
      </w:r>
      <w:r w:rsidR="00F17101" w:rsidRPr="00C419B9">
        <w:rPr>
          <w:rFonts w:ascii="Calibri" w:hAnsi="Calibri" w:cs="Calibri"/>
          <w:sz w:val="22"/>
          <w:szCs w:val="22"/>
        </w:rPr>
        <w:t xml:space="preserve"> found that whilst the VCE-VM pathway was introduced to elevate the status of VET teachers in secondary schools, the ongoing shortage of suitably-qualified and industry-experienced VET teachers continues to perpetuate the low status of VET in schools.</w:t>
      </w:r>
    </w:p>
    <w:p w14:paraId="49E272D8" w14:textId="5FEF5C45" w:rsidR="001C6B60" w:rsidRPr="00DE68E1" w:rsidRDefault="001C6B60" w:rsidP="007715EE">
      <w:pPr>
        <w:keepNext/>
        <w:keepLines/>
        <w:spacing w:line="360" w:lineRule="auto"/>
        <w:ind w:firstLine="0"/>
        <w:jc w:val="both"/>
        <w:outlineLvl w:val="1"/>
        <w:rPr>
          <w:rFonts w:ascii="Calibri" w:eastAsiaTheme="majorEastAsia" w:hAnsi="Calibri" w:cs="Calibri"/>
          <w:color w:val="0F4761" w:themeColor="accent1" w:themeShade="BF"/>
          <w:sz w:val="22"/>
          <w:szCs w:val="22"/>
        </w:rPr>
      </w:pPr>
      <w:bookmarkStart w:id="36" w:name="_Chapter_Three:_Research"/>
      <w:bookmarkEnd w:id="9"/>
      <w:bookmarkEnd w:id="10"/>
      <w:bookmarkEnd w:id="36"/>
      <w:r w:rsidRPr="00C419B9">
        <w:rPr>
          <w:rFonts w:ascii="Calibri" w:eastAsiaTheme="majorEastAsia" w:hAnsi="Calibri" w:cs="Calibri"/>
          <w:color w:val="0F4761" w:themeColor="accent1" w:themeShade="BF"/>
          <w:sz w:val="22"/>
          <w:szCs w:val="22"/>
        </w:rPr>
        <w:t>Methodology</w:t>
      </w:r>
    </w:p>
    <w:p w14:paraId="71C9DC21" w14:textId="5E825ACE" w:rsidR="00F17101" w:rsidRPr="00C419B9" w:rsidRDefault="00F17101" w:rsidP="007715EE">
      <w:pPr>
        <w:keepNext/>
        <w:keepLines/>
        <w:spacing w:line="360" w:lineRule="auto"/>
        <w:ind w:firstLine="0"/>
        <w:jc w:val="both"/>
        <w:outlineLvl w:val="1"/>
        <w:rPr>
          <w:rFonts w:ascii="Calibri" w:eastAsiaTheme="majorEastAsia" w:hAnsi="Calibri" w:cs="Calibri"/>
          <w:color w:val="0F4761" w:themeColor="accent1" w:themeShade="BF"/>
          <w:sz w:val="22"/>
          <w:szCs w:val="22"/>
        </w:rPr>
      </w:pPr>
      <w:bookmarkStart w:id="37" w:name="_Toc188210614"/>
      <w:r w:rsidRPr="00C419B9">
        <w:rPr>
          <w:rFonts w:ascii="Calibri" w:hAnsi="Calibri" w:cs="Calibri"/>
          <w:b/>
          <w:i/>
          <w:iCs/>
          <w:sz w:val="22"/>
          <w:szCs w:val="22"/>
        </w:rPr>
        <w:t>Research Design</w:t>
      </w:r>
      <w:bookmarkEnd w:id="37"/>
    </w:p>
    <w:p w14:paraId="319BBBBA" w14:textId="18BE2816" w:rsidR="00F17101" w:rsidRPr="00C419B9" w:rsidRDefault="00F17101" w:rsidP="007715EE">
      <w:pPr>
        <w:spacing w:line="360" w:lineRule="auto"/>
        <w:ind w:firstLine="0"/>
        <w:jc w:val="both"/>
        <w:rPr>
          <w:rFonts w:ascii="Calibri" w:hAnsi="Calibri" w:cs="Calibri"/>
          <w:sz w:val="22"/>
          <w:szCs w:val="22"/>
        </w:rPr>
      </w:pPr>
      <w:r w:rsidRPr="00C419B9">
        <w:rPr>
          <w:rFonts w:ascii="Calibri" w:eastAsiaTheme="minorEastAsia" w:hAnsi="Calibri" w:cs="Calibri"/>
          <w:sz w:val="22"/>
          <w:szCs w:val="22"/>
        </w:rPr>
        <w:t xml:space="preserve">Within the mixed methodology design, the selection of instruments forms part of the methodology, to ensure that both quantitative and qualitative data are collected in a manner that is coherent, complementary, and aligned with the research objectives. In this present study, three instruments were chosen. Firstly, an exploratory survey </w:t>
      </w:r>
      <w:r w:rsidR="007232C8" w:rsidRPr="00C419B9">
        <w:rPr>
          <w:rFonts w:ascii="Calibri" w:eastAsiaTheme="minorEastAsia" w:hAnsi="Calibri" w:cs="Calibri"/>
          <w:noProof/>
          <w:sz w:val="22"/>
          <w:szCs w:val="22"/>
        </w:rPr>
        <w:t>(Anderson &amp; Lightfoot, 2022)</w:t>
      </w:r>
      <w:r w:rsidRPr="00C419B9">
        <w:rPr>
          <w:rFonts w:ascii="Calibri" w:eastAsiaTheme="minorEastAsia" w:hAnsi="Calibri" w:cs="Calibri"/>
          <w:sz w:val="22"/>
          <w:szCs w:val="22"/>
        </w:rPr>
        <w:t xml:space="preserve"> was used to collect a comprehensive set of data, combining both qualitative and quantitative insights. </w:t>
      </w:r>
      <w:r w:rsidRPr="00C419B9">
        <w:rPr>
          <w:rFonts w:ascii="Calibri" w:hAnsi="Calibri" w:cs="Calibri"/>
          <w:sz w:val="22"/>
          <w:szCs w:val="22"/>
        </w:rPr>
        <w:t xml:space="preserve">Secondly, </w:t>
      </w:r>
      <w:r w:rsidR="005A0D32" w:rsidRPr="00C419B9">
        <w:rPr>
          <w:rFonts w:ascii="Calibri" w:hAnsi="Calibri" w:cs="Calibri"/>
          <w:sz w:val="22"/>
          <w:szCs w:val="22"/>
        </w:rPr>
        <w:t xml:space="preserve">the Career Adapt-Abilities Scale </w:t>
      </w:r>
      <w:r w:rsidR="007232C8" w:rsidRPr="00C419B9">
        <w:rPr>
          <w:rFonts w:ascii="Calibri" w:hAnsi="Calibri" w:cs="Calibri"/>
          <w:noProof/>
          <w:sz w:val="22"/>
          <w:szCs w:val="22"/>
        </w:rPr>
        <w:t>(Savickas &amp; Porfeli, 2011)</w:t>
      </w:r>
      <w:r w:rsidR="005A0D32" w:rsidRPr="00C419B9">
        <w:rPr>
          <w:rFonts w:ascii="Calibri" w:hAnsi="Calibri" w:cs="Calibri"/>
          <w:sz w:val="22"/>
          <w:szCs w:val="22"/>
        </w:rPr>
        <w:t xml:space="preserve"> </w:t>
      </w:r>
      <w:r w:rsidRPr="00C419B9">
        <w:rPr>
          <w:rFonts w:ascii="Calibri" w:hAnsi="Calibri" w:cs="Calibri"/>
          <w:sz w:val="22"/>
          <w:szCs w:val="22"/>
        </w:rPr>
        <w:t xml:space="preserve">was chosen to elicit quantitative data. To ensure robust data collection, psychometric measures were considered, and the scale has been validated with populations in 13 different countries </w:t>
      </w:r>
      <w:r w:rsidRPr="00C419B9">
        <w:rPr>
          <w:rFonts w:ascii="Calibri" w:hAnsi="Calibri" w:cs="Calibri"/>
          <w:noProof/>
          <w:sz w:val="22"/>
          <w:szCs w:val="22"/>
        </w:rPr>
        <w:t>(</w:t>
      </w:r>
      <w:r w:rsidRPr="00C419B9">
        <w:rPr>
          <w:rFonts w:ascii="Calibri" w:hAnsi="Calibri" w:cs="Calibri"/>
          <w:sz w:val="22"/>
          <w:szCs w:val="22"/>
        </w:rPr>
        <w:t>Savickas &amp; Porfeli, 2012</w:t>
      </w:r>
      <w:r w:rsidRPr="00C419B9">
        <w:rPr>
          <w:rFonts w:ascii="Calibri" w:hAnsi="Calibri" w:cs="Calibri"/>
          <w:noProof/>
          <w:sz w:val="22"/>
          <w:szCs w:val="22"/>
        </w:rPr>
        <w:t>)</w:t>
      </w:r>
      <w:r w:rsidRPr="00C419B9">
        <w:rPr>
          <w:rFonts w:ascii="Calibri" w:hAnsi="Calibri" w:cs="Calibri"/>
          <w:sz w:val="22"/>
          <w:szCs w:val="22"/>
        </w:rPr>
        <w:t xml:space="preserve">. Thirdly, interviews were conducted to allow </w:t>
      </w:r>
      <w:r w:rsidR="000D7CC0" w:rsidRPr="00C419B9">
        <w:rPr>
          <w:rFonts w:ascii="Calibri" w:hAnsi="Calibri" w:cs="Calibri"/>
          <w:sz w:val="22"/>
          <w:szCs w:val="22"/>
        </w:rPr>
        <w:t>the researcher</w:t>
      </w:r>
      <w:r w:rsidRPr="00C419B9">
        <w:rPr>
          <w:rFonts w:ascii="Calibri" w:hAnsi="Calibri" w:cs="Calibri"/>
          <w:sz w:val="22"/>
          <w:szCs w:val="22"/>
        </w:rPr>
        <w:t xml:space="preserve"> to explore the SCDP role, and make meaning of the research participants’ data as they developed their career narratives through questioning.  </w:t>
      </w:r>
    </w:p>
    <w:p w14:paraId="00AE83D3" w14:textId="4D032797" w:rsidR="00F17101" w:rsidRPr="00C419B9" w:rsidRDefault="00F17101" w:rsidP="007715EE">
      <w:pPr>
        <w:spacing w:line="360" w:lineRule="auto"/>
        <w:ind w:firstLine="0"/>
        <w:jc w:val="both"/>
        <w:rPr>
          <w:rFonts w:ascii="Calibri" w:hAnsi="Calibri" w:cs="Calibri"/>
          <w:b/>
          <w:bCs/>
          <w:i/>
          <w:iCs/>
          <w:sz w:val="22"/>
          <w:szCs w:val="22"/>
        </w:rPr>
      </w:pPr>
      <w:r w:rsidRPr="00C419B9">
        <w:rPr>
          <w:rFonts w:ascii="Calibri" w:hAnsi="Calibri" w:cs="Calibri"/>
          <w:b/>
          <w:i/>
          <w:iCs/>
          <w:sz w:val="22"/>
          <w:szCs w:val="22"/>
        </w:rPr>
        <w:t xml:space="preserve">Qualitative Data Analysis </w:t>
      </w:r>
    </w:p>
    <w:p w14:paraId="2C2FFBDC" w14:textId="073DC40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To analyse the data collected from the interviews, </w:t>
      </w:r>
      <w:r w:rsidR="000A2473" w:rsidRPr="00C419B9">
        <w:rPr>
          <w:rFonts w:ascii="Calibri" w:hAnsi="Calibri" w:cs="Calibri"/>
          <w:sz w:val="22"/>
          <w:szCs w:val="22"/>
        </w:rPr>
        <w:t>the researcher</w:t>
      </w:r>
      <w:r w:rsidRPr="00C419B9">
        <w:rPr>
          <w:rFonts w:ascii="Calibri" w:hAnsi="Calibri" w:cs="Calibri"/>
          <w:sz w:val="22"/>
          <w:szCs w:val="22"/>
        </w:rPr>
        <w:t xml:space="preserve"> focussed on the participants’ narrative to understand their perspectives on the parameters of the SCDP role. A reflexive thematic analysis was chosen for this present study because the active role of the researcher in knowledge production is a distinctive feature of this type of thematic analysis </w:t>
      </w:r>
      <w:r w:rsidR="007232C8" w:rsidRPr="00C419B9">
        <w:rPr>
          <w:rFonts w:ascii="Calibri" w:hAnsi="Calibri" w:cs="Calibri"/>
          <w:noProof/>
          <w:sz w:val="22"/>
          <w:szCs w:val="22"/>
        </w:rPr>
        <w:t>(Braun &amp; Clarke, 2019; Braun et al., 2019)</w:t>
      </w:r>
      <w:r w:rsidRPr="00C419B9">
        <w:rPr>
          <w:rFonts w:ascii="Calibri" w:hAnsi="Calibri" w:cs="Calibri"/>
          <w:sz w:val="22"/>
          <w:szCs w:val="22"/>
        </w:rPr>
        <w:t xml:space="preserve">. </w:t>
      </w:r>
    </w:p>
    <w:p w14:paraId="3457FB7C" w14:textId="6A493335" w:rsidR="00F17101" w:rsidRPr="00C419B9" w:rsidRDefault="00F17101" w:rsidP="007715EE">
      <w:pPr>
        <w:spacing w:line="360" w:lineRule="auto"/>
        <w:ind w:firstLine="0"/>
        <w:jc w:val="both"/>
        <w:rPr>
          <w:rFonts w:ascii="Calibri" w:hAnsi="Calibri" w:cs="Calibri"/>
          <w:b/>
          <w:bCs/>
          <w:i/>
          <w:iCs/>
          <w:sz w:val="22"/>
          <w:szCs w:val="22"/>
        </w:rPr>
      </w:pPr>
      <w:bookmarkStart w:id="38" w:name="_Toc188210624"/>
      <w:r w:rsidRPr="00C419B9">
        <w:rPr>
          <w:rFonts w:ascii="Calibri" w:hAnsi="Calibri" w:cs="Calibri"/>
          <w:b/>
          <w:i/>
          <w:iCs/>
          <w:sz w:val="22"/>
          <w:szCs w:val="22"/>
        </w:rPr>
        <w:t>Quantitative Mixed Methods Research Design</w:t>
      </w:r>
      <w:bookmarkEnd w:id="38"/>
    </w:p>
    <w:p w14:paraId="6FF53A4B" w14:textId="43B93396"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A tenet of convergent parallel mixed methods research design, is the determination of whether convergence and divergence have occurred to address the research question, and to interpret or explain this. Once both the quantitative and qualitative data were analysed, it was found that there were both convergence and divergence in the participants’ (SCDPs’) personal career adaptability, and this finding is important to understand how their role can address the STEM career shortage. On analysing the </w:t>
      </w:r>
      <w:r w:rsidR="003A3667" w:rsidRPr="00C419B9">
        <w:rPr>
          <w:rFonts w:ascii="Calibri" w:hAnsi="Calibri" w:cs="Calibri"/>
          <w:sz w:val="22"/>
          <w:szCs w:val="22"/>
        </w:rPr>
        <w:t>interview</w:t>
      </w:r>
      <w:r w:rsidRPr="00C419B9">
        <w:rPr>
          <w:rFonts w:ascii="Calibri" w:hAnsi="Calibri" w:cs="Calibri"/>
          <w:sz w:val="22"/>
          <w:szCs w:val="22"/>
        </w:rPr>
        <w:t xml:space="preserve"> transcripts, there were some similarities found in the themes, between the data provided by different participants, though a broader thematic classification was required to address the SCDPs</w:t>
      </w:r>
      <w:r w:rsidR="00475B6B" w:rsidRPr="00C419B9">
        <w:rPr>
          <w:rFonts w:ascii="Calibri" w:hAnsi="Calibri" w:cs="Calibri"/>
          <w:sz w:val="22"/>
          <w:szCs w:val="22"/>
        </w:rPr>
        <w:t>’</w:t>
      </w:r>
      <w:r w:rsidRPr="00C419B9">
        <w:rPr>
          <w:rFonts w:ascii="Calibri" w:hAnsi="Calibri" w:cs="Calibri"/>
          <w:sz w:val="22"/>
          <w:szCs w:val="22"/>
        </w:rPr>
        <w:t xml:space="preserve"> career adaptability.</w:t>
      </w:r>
    </w:p>
    <w:p w14:paraId="1ED8FC85" w14:textId="41BF6227" w:rsidR="00524A5D" w:rsidRPr="00C419B9" w:rsidRDefault="00524A5D" w:rsidP="007715EE">
      <w:pPr>
        <w:pStyle w:val="Heading2"/>
        <w:spacing w:before="0" w:after="0" w:line="360" w:lineRule="auto"/>
        <w:ind w:firstLine="0"/>
        <w:jc w:val="both"/>
        <w:rPr>
          <w:rFonts w:ascii="Calibri" w:hAnsi="Calibri" w:cs="Calibri"/>
          <w:sz w:val="22"/>
          <w:szCs w:val="22"/>
        </w:rPr>
      </w:pPr>
      <w:bookmarkStart w:id="39" w:name="_3.29._Ethical_Considerations"/>
      <w:bookmarkStart w:id="40" w:name="_Toc188210630"/>
      <w:bookmarkEnd w:id="39"/>
      <w:r w:rsidRPr="00C419B9">
        <w:rPr>
          <w:rFonts w:ascii="Calibri" w:hAnsi="Calibri" w:cs="Calibri"/>
          <w:sz w:val="22"/>
          <w:szCs w:val="22"/>
        </w:rPr>
        <w:lastRenderedPageBreak/>
        <w:t>Results</w:t>
      </w:r>
    </w:p>
    <w:bookmarkEnd w:id="40"/>
    <w:p w14:paraId="31B75B08" w14:textId="6B11C813" w:rsidR="00F17101" w:rsidRPr="00C419B9" w:rsidRDefault="00F17101" w:rsidP="007715EE">
      <w:pPr>
        <w:spacing w:line="360" w:lineRule="auto"/>
        <w:ind w:firstLine="0"/>
        <w:jc w:val="both"/>
        <w:rPr>
          <w:rFonts w:ascii="Calibri" w:hAnsi="Calibri" w:cs="Calibri"/>
          <w:b/>
          <w:i/>
          <w:sz w:val="22"/>
          <w:szCs w:val="22"/>
        </w:rPr>
      </w:pPr>
      <w:r w:rsidRPr="00C419B9">
        <w:rPr>
          <w:rFonts w:ascii="Calibri" w:hAnsi="Calibri" w:cs="Calibri"/>
          <w:color w:val="000000"/>
          <w:sz w:val="22"/>
          <w:szCs w:val="22"/>
        </w:rPr>
        <w:t xml:space="preserve">To address the overarching research question for this present study: </w:t>
      </w:r>
      <w:r w:rsidRPr="00C419B9">
        <w:rPr>
          <w:rFonts w:ascii="Calibri" w:hAnsi="Calibri" w:cs="Calibri"/>
          <w:i/>
          <w:iCs/>
          <w:color w:val="000000"/>
          <w:sz w:val="22"/>
          <w:szCs w:val="22"/>
          <w:lang w:val="en-GB"/>
        </w:rPr>
        <w:t>How do SCDP's develop their career adaptability as practitioners through their experiences guiding students pursuing VET STEM careers?</w:t>
      </w:r>
      <w:r w:rsidRPr="00C419B9">
        <w:rPr>
          <w:rFonts w:ascii="Calibri" w:hAnsi="Calibri" w:cs="Calibri"/>
          <w:color w:val="000000"/>
          <w:sz w:val="22"/>
          <w:szCs w:val="22"/>
          <w:lang w:val="en-GB"/>
        </w:rPr>
        <w:t xml:space="preserve">, the findings revealed that SCDPs required adaptability and resilience in their roles and this enabled them to manage the challenges associated with social stigma and working in an inadequately resourced work culture. </w:t>
      </w:r>
    </w:p>
    <w:p w14:paraId="5E6F245B" w14:textId="3CC5C927" w:rsidR="00F17101" w:rsidRPr="00C419B9" w:rsidRDefault="00F17101" w:rsidP="007715EE">
      <w:pPr>
        <w:spacing w:line="360" w:lineRule="auto"/>
        <w:ind w:firstLine="0"/>
        <w:jc w:val="both"/>
        <w:rPr>
          <w:rFonts w:ascii="Calibri" w:hAnsi="Calibri" w:cs="Calibri"/>
          <w:b/>
          <w:bCs/>
          <w:i/>
          <w:iCs/>
          <w:sz w:val="22"/>
          <w:szCs w:val="22"/>
        </w:rPr>
      </w:pPr>
      <w:bookmarkStart w:id="41" w:name="_Toc188210631"/>
      <w:r w:rsidRPr="00C419B9">
        <w:rPr>
          <w:rFonts w:ascii="Calibri" w:hAnsi="Calibri" w:cs="Calibri"/>
          <w:b/>
          <w:i/>
          <w:iCs/>
          <w:sz w:val="22"/>
          <w:szCs w:val="22"/>
        </w:rPr>
        <w:t>Qualitative Findings</w:t>
      </w:r>
      <w:bookmarkEnd w:id="41"/>
    </w:p>
    <w:p w14:paraId="12AAEAEB" w14:textId="77777777" w:rsidR="00B151A3"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Through analysing the semi-structured interview and customised survey, qualitative findings emerged. The thematic analysis was conducted, to determine what the SCDPs identified as important aspects of their roles. The SCDPs identified that the developing their career adaptability was challenged through barriers from both proximal and distal influences.</w:t>
      </w:r>
      <w:bookmarkStart w:id="42" w:name="_4.22._Addressing_the"/>
      <w:bookmarkEnd w:id="42"/>
    </w:p>
    <w:p w14:paraId="483584FB" w14:textId="42E7D65C"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b/>
          <w:sz w:val="22"/>
          <w:szCs w:val="22"/>
        </w:rPr>
        <w:t>Social and Cultural Aspects.</w:t>
      </w:r>
      <w:r w:rsidRPr="00C419B9">
        <w:rPr>
          <w:rFonts w:ascii="Calibri" w:hAnsi="Calibri" w:cs="Calibri"/>
          <w:sz w:val="22"/>
          <w:szCs w:val="22"/>
        </w:rPr>
        <w:t xml:space="preserve"> To address the research question, SCDPs identified that there were many aspects that were imperative to fulfilling their roles. Predominantly, the social and cultural aspects of the role were identified within the data: </w:t>
      </w:r>
    </w:p>
    <w:p w14:paraId="483B6494" w14:textId="77777777" w:rsidR="00F17101" w:rsidRPr="00C419B9" w:rsidRDefault="00F17101" w:rsidP="007715EE">
      <w:pPr>
        <w:spacing w:line="360" w:lineRule="auto"/>
        <w:ind w:firstLine="0"/>
        <w:jc w:val="both"/>
        <w:rPr>
          <w:rFonts w:ascii="Calibri" w:hAnsi="Calibri" w:cs="Calibri"/>
          <w:i/>
          <w:iCs/>
          <w:sz w:val="22"/>
          <w:szCs w:val="22"/>
        </w:rPr>
      </w:pPr>
      <w:r w:rsidRPr="00C419B9">
        <w:rPr>
          <w:rFonts w:ascii="Calibri" w:hAnsi="Calibri" w:cs="Calibri"/>
          <w:i/>
          <w:iCs/>
          <w:sz w:val="22"/>
          <w:szCs w:val="22"/>
        </w:rPr>
        <w:t>STEM careers, are careers in so many different areas… like, a vocational study area…with VET subjects, is that over 80% of students that complete a VET course will actually walk into a job because there's such a shortage in that area.</w:t>
      </w:r>
    </w:p>
    <w:p w14:paraId="298E61FA" w14:textId="77777777" w:rsidR="00F17101" w:rsidRPr="00C419B9" w:rsidRDefault="00F17101" w:rsidP="007715EE">
      <w:pPr>
        <w:spacing w:line="360" w:lineRule="auto"/>
        <w:ind w:firstLine="0"/>
        <w:jc w:val="both"/>
        <w:rPr>
          <w:rFonts w:ascii="Calibri" w:hAnsi="Calibri" w:cs="Calibri"/>
          <w:i/>
          <w:iCs/>
          <w:sz w:val="22"/>
          <w:szCs w:val="22"/>
        </w:rPr>
      </w:pPr>
      <w:r w:rsidRPr="00C419B9">
        <w:rPr>
          <w:rFonts w:ascii="Calibri" w:hAnsi="Calibri" w:cs="Calibri"/>
          <w:sz w:val="22"/>
          <w:szCs w:val="22"/>
        </w:rPr>
        <w:t>Access to STEM careers, from a socio-economic viewpoint, is considered:</w:t>
      </w:r>
    </w:p>
    <w:p w14:paraId="56516FFD"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i/>
          <w:iCs/>
          <w:sz w:val="22"/>
          <w:szCs w:val="22"/>
        </w:rPr>
        <w:t xml:space="preserve">The…school that I work at, we're in a low demographic, low socioeconomic area. We have a high percentage of students that are refugee, asylum seeker background. A lot of them are on visas where they actually cannot get higher education study loans, so that changes everything again, especially with Year </w:t>
      </w:r>
      <w:proofErr w:type="spellStart"/>
      <w:r w:rsidRPr="00C419B9">
        <w:rPr>
          <w:rFonts w:ascii="Calibri" w:hAnsi="Calibri" w:cs="Calibri"/>
          <w:i/>
          <w:iCs/>
          <w:sz w:val="22"/>
          <w:szCs w:val="22"/>
        </w:rPr>
        <w:t>12s</w:t>
      </w:r>
      <w:proofErr w:type="spellEnd"/>
      <w:r w:rsidRPr="00C419B9">
        <w:rPr>
          <w:rFonts w:ascii="Calibri" w:hAnsi="Calibri" w:cs="Calibri"/>
          <w:i/>
          <w:iCs/>
          <w:sz w:val="22"/>
          <w:szCs w:val="22"/>
        </w:rPr>
        <w:t>, to what they are going to be able to do next year, what they want to do and what they can do, especially financially wise is, quite a big difference….I can usually find something in that VET sector that's going to fulfill them, even if it is just interim, until they get citizenship and then perhaps, they can go on to university</w:t>
      </w:r>
    </w:p>
    <w:p w14:paraId="09BACE8D"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most prominent social influence for the SCDPs was their background. An unexpected finding emerged. This unexpected finding involved the elements that participants identified which affected their own career adaptability. The qualitative data revealed that participants valued their backgrounds. For example, those with school education backgrounds viewed </w:t>
      </w:r>
      <w:r w:rsidRPr="00C419B9">
        <w:rPr>
          <w:rFonts w:ascii="Calibri" w:hAnsi="Calibri" w:cs="Calibri"/>
          <w:i/>
          <w:iCs/>
          <w:sz w:val="22"/>
          <w:szCs w:val="22"/>
        </w:rPr>
        <w:t>teaching children</w:t>
      </w:r>
      <w:r w:rsidRPr="00C419B9">
        <w:rPr>
          <w:rFonts w:ascii="Calibri" w:hAnsi="Calibri" w:cs="Calibri"/>
          <w:sz w:val="22"/>
          <w:szCs w:val="22"/>
        </w:rPr>
        <w:t xml:space="preserve"> as essential for the SCDP role. Conversely, those from industry backgrounds, such as Registered Training Organisations, deemed their </w:t>
      </w:r>
      <w:r w:rsidRPr="00C419B9">
        <w:rPr>
          <w:rFonts w:ascii="Calibri" w:hAnsi="Calibri" w:cs="Calibri"/>
          <w:i/>
          <w:iCs/>
          <w:sz w:val="22"/>
          <w:szCs w:val="22"/>
        </w:rPr>
        <w:t>industry experience</w:t>
      </w:r>
      <w:r w:rsidRPr="00C419B9">
        <w:rPr>
          <w:rFonts w:ascii="Calibri" w:hAnsi="Calibri" w:cs="Calibri"/>
          <w:sz w:val="22"/>
          <w:szCs w:val="22"/>
        </w:rPr>
        <w:t xml:space="preserve"> invaluable for the SCDP role. The breadth and depth of </w:t>
      </w:r>
      <w:r w:rsidRPr="00C419B9">
        <w:rPr>
          <w:rFonts w:ascii="Calibri" w:hAnsi="Calibri" w:cs="Calibri"/>
          <w:i/>
          <w:iCs/>
          <w:sz w:val="22"/>
          <w:szCs w:val="22"/>
        </w:rPr>
        <w:t>labour market knowledge</w:t>
      </w:r>
      <w:r w:rsidRPr="00C419B9">
        <w:rPr>
          <w:rFonts w:ascii="Calibri" w:hAnsi="Calibri" w:cs="Calibri"/>
          <w:sz w:val="22"/>
          <w:szCs w:val="22"/>
        </w:rPr>
        <w:t xml:space="preserve"> were identified as critical to the SCDP role.</w:t>
      </w:r>
    </w:p>
    <w:p w14:paraId="3D96F096" w14:textId="76CDD6E1"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NVIvo coding resulted in emergent themes within the data. The six prominent themes identified </w:t>
      </w:r>
      <w:r w:rsidR="00A638A5" w:rsidRPr="00C419B9">
        <w:rPr>
          <w:rFonts w:ascii="Calibri" w:hAnsi="Calibri" w:cs="Calibri"/>
          <w:sz w:val="22"/>
          <w:szCs w:val="22"/>
        </w:rPr>
        <w:t>we</w:t>
      </w:r>
      <w:r w:rsidRPr="00C419B9">
        <w:rPr>
          <w:rFonts w:ascii="Calibri" w:hAnsi="Calibri" w:cs="Calibri"/>
          <w:sz w:val="22"/>
          <w:szCs w:val="22"/>
        </w:rPr>
        <w:t>re:</w:t>
      </w:r>
    </w:p>
    <w:p w14:paraId="629875B8" w14:textId="77777777" w:rsidR="00F17101" w:rsidRPr="00C419B9" w:rsidRDefault="00F17101" w:rsidP="007715EE">
      <w:pPr>
        <w:widowControl w:val="0"/>
        <w:numPr>
          <w:ilvl w:val="0"/>
          <w:numId w:val="44"/>
        </w:numPr>
        <w:kinsoku w:val="0"/>
        <w:overflowPunct w:val="0"/>
        <w:adjustRightInd w:val="0"/>
        <w:snapToGrid w:val="0"/>
        <w:spacing w:line="360" w:lineRule="auto"/>
        <w:ind w:left="0" w:firstLine="0"/>
        <w:jc w:val="both"/>
        <w:rPr>
          <w:rFonts w:ascii="Calibri" w:hAnsi="Calibri" w:cs="Calibri"/>
          <w:sz w:val="22"/>
          <w:szCs w:val="22"/>
        </w:rPr>
      </w:pPr>
      <w:r w:rsidRPr="00C419B9">
        <w:rPr>
          <w:rFonts w:ascii="Calibri" w:hAnsi="Calibri" w:cs="Calibri"/>
          <w:sz w:val="22"/>
          <w:szCs w:val="22"/>
        </w:rPr>
        <w:lastRenderedPageBreak/>
        <w:t xml:space="preserve">Barriers for SCDPs </w:t>
      </w:r>
    </w:p>
    <w:p w14:paraId="0DE8FBC6" w14:textId="77777777" w:rsidR="00F17101" w:rsidRPr="00C419B9" w:rsidRDefault="00F17101" w:rsidP="007715EE">
      <w:pPr>
        <w:widowControl w:val="0"/>
        <w:numPr>
          <w:ilvl w:val="0"/>
          <w:numId w:val="44"/>
        </w:numPr>
        <w:kinsoku w:val="0"/>
        <w:overflowPunct w:val="0"/>
        <w:adjustRightInd w:val="0"/>
        <w:snapToGrid w:val="0"/>
        <w:spacing w:line="360" w:lineRule="auto"/>
        <w:ind w:left="0" w:firstLine="0"/>
        <w:jc w:val="both"/>
        <w:rPr>
          <w:rFonts w:ascii="Calibri" w:hAnsi="Calibri" w:cs="Calibri"/>
          <w:sz w:val="22"/>
          <w:szCs w:val="22"/>
        </w:rPr>
      </w:pPr>
      <w:r w:rsidRPr="00C419B9">
        <w:rPr>
          <w:rFonts w:ascii="Calibri" w:hAnsi="Calibri" w:cs="Calibri"/>
          <w:sz w:val="22"/>
          <w:szCs w:val="22"/>
        </w:rPr>
        <w:t xml:space="preserve">Barriers for students </w:t>
      </w:r>
    </w:p>
    <w:p w14:paraId="3E0F8BEF" w14:textId="77777777" w:rsidR="00F17101" w:rsidRPr="00C419B9" w:rsidRDefault="00F17101" w:rsidP="007715EE">
      <w:pPr>
        <w:widowControl w:val="0"/>
        <w:numPr>
          <w:ilvl w:val="0"/>
          <w:numId w:val="44"/>
        </w:numPr>
        <w:kinsoku w:val="0"/>
        <w:overflowPunct w:val="0"/>
        <w:adjustRightInd w:val="0"/>
        <w:snapToGrid w:val="0"/>
        <w:spacing w:line="360" w:lineRule="auto"/>
        <w:ind w:left="0" w:firstLine="0"/>
        <w:jc w:val="both"/>
        <w:rPr>
          <w:rFonts w:ascii="Calibri" w:hAnsi="Calibri" w:cs="Calibri"/>
          <w:sz w:val="22"/>
          <w:szCs w:val="22"/>
        </w:rPr>
      </w:pPr>
      <w:r w:rsidRPr="00C419B9">
        <w:rPr>
          <w:rFonts w:ascii="Calibri" w:hAnsi="Calibri" w:cs="Calibri"/>
          <w:sz w:val="22"/>
          <w:szCs w:val="22"/>
        </w:rPr>
        <w:t xml:space="preserve">Course selection </w:t>
      </w:r>
    </w:p>
    <w:p w14:paraId="757821B8" w14:textId="77777777" w:rsidR="00F17101" w:rsidRPr="00C419B9" w:rsidRDefault="00F17101" w:rsidP="007715EE">
      <w:pPr>
        <w:widowControl w:val="0"/>
        <w:numPr>
          <w:ilvl w:val="0"/>
          <w:numId w:val="44"/>
        </w:numPr>
        <w:kinsoku w:val="0"/>
        <w:overflowPunct w:val="0"/>
        <w:adjustRightInd w:val="0"/>
        <w:snapToGrid w:val="0"/>
        <w:spacing w:line="360" w:lineRule="auto"/>
        <w:ind w:left="0" w:firstLine="0"/>
        <w:jc w:val="both"/>
        <w:rPr>
          <w:rFonts w:ascii="Calibri" w:hAnsi="Calibri" w:cs="Calibri"/>
          <w:sz w:val="22"/>
          <w:szCs w:val="22"/>
        </w:rPr>
      </w:pPr>
      <w:r w:rsidRPr="00C419B9">
        <w:rPr>
          <w:rFonts w:ascii="Calibri" w:hAnsi="Calibri" w:cs="Calibri"/>
          <w:sz w:val="22"/>
          <w:szCs w:val="22"/>
        </w:rPr>
        <w:t>STEM issues</w:t>
      </w:r>
    </w:p>
    <w:p w14:paraId="1CB27E24" w14:textId="77777777" w:rsidR="00F17101" w:rsidRPr="00C419B9" w:rsidRDefault="00F17101" w:rsidP="007715EE">
      <w:pPr>
        <w:widowControl w:val="0"/>
        <w:numPr>
          <w:ilvl w:val="0"/>
          <w:numId w:val="44"/>
        </w:numPr>
        <w:kinsoku w:val="0"/>
        <w:overflowPunct w:val="0"/>
        <w:adjustRightInd w:val="0"/>
        <w:snapToGrid w:val="0"/>
        <w:spacing w:line="360" w:lineRule="auto"/>
        <w:ind w:left="0" w:firstLine="0"/>
        <w:jc w:val="both"/>
        <w:rPr>
          <w:rFonts w:ascii="Calibri" w:hAnsi="Calibri" w:cs="Calibri"/>
          <w:sz w:val="22"/>
          <w:szCs w:val="22"/>
        </w:rPr>
      </w:pPr>
      <w:r w:rsidRPr="00C419B9">
        <w:rPr>
          <w:rFonts w:ascii="Calibri" w:hAnsi="Calibri" w:cs="Calibri"/>
          <w:sz w:val="22"/>
          <w:szCs w:val="22"/>
        </w:rPr>
        <w:t>VET issues</w:t>
      </w:r>
    </w:p>
    <w:p w14:paraId="069DECF2" w14:textId="77777777" w:rsidR="00F17101" w:rsidRPr="00C419B9" w:rsidRDefault="00F17101" w:rsidP="007715EE">
      <w:pPr>
        <w:widowControl w:val="0"/>
        <w:numPr>
          <w:ilvl w:val="0"/>
          <w:numId w:val="44"/>
        </w:numPr>
        <w:kinsoku w:val="0"/>
        <w:overflowPunct w:val="0"/>
        <w:adjustRightInd w:val="0"/>
        <w:snapToGrid w:val="0"/>
        <w:spacing w:line="360" w:lineRule="auto"/>
        <w:ind w:left="0" w:firstLine="0"/>
        <w:jc w:val="both"/>
        <w:rPr>
          <w:rFonts w:ascii="Calibri" w:hAnsi="Calibri" w:cs="Calibri"/>
          <w:sz w:val="22"/>
          <w:szCs w:val="22"/>
        </w:rPr>
      </w:pPr>
      <w:r w:rsidRPr="00C419B9">
        <w:rPr>
          <w:rFonts w:ascii="Calibri" w:hAnsi="Calibri" w:cs="Calibri"/>
          <w:sz w:val="22"/>
          <w:szCs w:val="22"/>
        </w:rPr>
        <w:t xml:space="preserve">Qualifications  </w:t>
      </w:r>
    </w:p>
    <w:p w14:paraId="5AB24E5F" w14:textId="31665F96"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color w:val="000000"/>
          <w:sz w:val="22"/>
          <w:szCs w:val="22"/>
        </w:rPr>
        <w:t xml:space="preserve">To address the research question, the themes were </w:t>
      </w:r>
      <w:r w:rsidRPr="00C419B9">
        <w:rPr>
          <w:rFonts w:ascii="Calibri" w:hAnsi="Calibri" w:cs="Calibri"/>
          <w:sz w:val="22"/>
          <w:szCs w:val="22"/>
        </w:rPr>
        <w:t xml:space="preserve">further refined the themes by assigning suitable characteristics to provide meaning. I identified relationships between the themes to determine links to the four career adaptability constructs (concern, control, curiosity, and confidence). This third coding aimed to discover any relationships between the six main themes, and the four career adaptability </w:t>
      </w:r>
      <w:r w:rsidRPr="00C419B9">
        <w:rPr>
          <w:rFonts w:ascii="Calibri" w:hAnsi="Calibri" w:cs="Calibri"/>
          <w:noProof/>
          <w:sz w:val="22"/>
          <w:szCs w:val="22"/>
        </w:rPr>
        <w:t>(</w:t>
      </w:r>
      <w:r w:rsidRPr="00C419B9">
        <w:rPr>
          <w:rFonts w:ascii="Calibri" w:hAnsi="Calibri" w:cs="Calibri"/>
          <w:sz w:val="22"/>
          <w:szCs w:val="22"/>
        </w:rPr>
        <w:t>Savickas, 1997</w:t>
      </w:r>
      <w:r w:rsidRPr="00C419B9">
        <w:rPr>
          <w:rFonts w:ascii="Calibri" w:hAnsi="Calibri" w:cs="Calibri"/>
          <w:noProof/>
          <w:sz w:val="22"/>
          <w:szCs w:val="22"/>
        </w:rPr>
        <w:t>)</w:t>
      </w:r>
      <w:r w:rsidRPr="00C419B9">
        <w:rPr>
          <w:rFonts w:ascii="Calibri" w:hAnsi="Calibri" w:cs="Calibri"/>
          <w:sz w:val="22"/>
          <w:szCs w:val="22"/>
        </w:rPr>
        <w:t xml:space="preserve"> constructs. The qualitative themes and subthemes that were identified from the data</w:t>
      </w:r>
      <w:r w:rsidR="00BA6B12" w:rsidRPr="00C419B9">
        <w:rPr>
          <w:rFonts w:ascii="Calibri" w:hAnsi="Calibri" w:cs="Calibri"/>
          <w:sz w:val="22"/>
          <w:szCs w:val="22"/>
        </w:rPr>
        <w:t xml:space="preserve"> </w:t>
      </w:r>
      <w:r w:rsidR="000D4431" w:rsidRPr="00C419B9">
        <w:rPr>
          <w:rFonts w:ascii="Calibri" w:hAnsi="Calibri" w:cs="Calibri"/>
          <w:sz w:val="22"/>
          <w:szCs w:val="22"/>
        </w:rPr>
        <w:t>do not form part of this paper</w:t>
      </w:r>
      <w:r w:rsidR="006A6FA5" w:rsidRPr="00C419B9">
        <w:rPr>
          <w:rFonts w:ascii="Calibri" w:hAnsi="Calibri" w:cs="Calibri"/>
          <w:sz w:val="22"/>
          <w:szCs w:val="22"/>
        </w:rPr>
        <w:t xml:space="preserve">, and theme 5 </w:t>
      </w:r>
      <w:r w:rsidR="00B67130" w:rsidRPr="00C419B9">
        <w:rPr>
          <w:rFonts w:ascii="Calibri" w:hAnsi="Calibri" w:cs="Calibri"/>
          <w:sz w:val="22"/>
          <w:szCs w:val="22"/>
        </w:rPr>
        <w:t>‘</w:t>
      </w:r>
      <w:r w:rsidR="006A6FA5" w:rsidRPr="00C419B9">
        <w:rPr>
          <w:rFonts w:ascii="Calibri" w:hAnsi="Calibri" w:cs="Calibri"/>
          <w:sz w:val="22"/>
          <w:szCs w:val="22"/>
        </w:rPr>
        <w:t>VET Issues</w:t>
      </w:r>
      <w:r w:rsidR="00BA6B12" w:rsidRPr="00C419B9">
        <w:rPr>
          <w:rFonts w:ascii="Calibri" w:hAnsi="Calibri" w:cs="Calibri"/>
          <w:sz w:val="22"/>
          <w:szCs w:val="22"/>
        </w:rPr>
        <w:t>’</w:t>
      </w:r>
      <w:r w:rsidR="006A6FA5" w:rsidRPr="00C419B9">
        <w:rPr>
          <w:rFonts w:ascii="Calibri" w:hAnsi="Calibri" w:cs="Calibri"/>
          <w:sz w:val="22"/>
          <w:szCs w:val="22"/>
        </w:rPr>
        <w:t xml:space="preserve"> will be addressed here.</w:t>
      </w:r>
      <w:r w:rsidRPr="00C419B9">
        <w:rPr>
          <w:rFonts w:ascii="Calibri" w:hAnsi="Calibri" w:cs="Calibri"/>
          <w:sz w:val="22"/>
          <w:szCs w:val="22"/>
        </w:rPr>
        <w:t xml:space="preserve"> </w:t>
      </w:r>
    </w:p>
    <w:p w14:paraId="641894A3" w14:textId="71238179" w:rsidR="00F17101" w:rsidRPr="00C419B9" w:rsidRDefault="00F17101" w:rsidP="007715EE">
      <w:pPr>
        <w:spacing w:line="360" w:lineRule="auto"/>
        <w:ind w:firstLine="0"/>
        <w:jc w:val="both"/>
        <w:rPr>
          <w:rStyle w:val="Heading4Char"/>
          <w:rFonts w:ascii="Calibri" w:hAnsi="Calibri" w:cs="Calibri"/>
          <w:i w:val="0"/>
          <w:iCs w:val="0"/>
          <w:sz w:val="22"/>
          <w:szCs w:val="22"/>
        </w:rPr>
      </w:pPr>
      <w:bookmarkStart w:id="43" w:name="_Toc188210636"/>
      <w:r w:rsidRPr="00C419B9">
        <w:rPr>
          <w:rStyle w:val="Heading4Char"/>
          <w:rFonts w:ascii="Calibri" w:hAnsi="Calibri" w:cs="Calibri"/>
          <w:iCs w:val="0"/>
          <w:sz w:val="22"/>
          <w:szCs w:val="22"/>
        </w:rPr>
        <w:t>VET Issues</w:t>
      </w:r>
      <w:bookmarkEnd w:id="43"/>
    </w:p>
    <w:p w14:paraId="1E0B0F8D"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In order to provide career guidance that has been targeted towards the VET sector, the following issues were identified.</w:t>
      </w:r>
    </w:p>
    <w:p w14:paraId="29606200" w14:textId="58BA4689"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b/>
          <w:sz w:val="22"/>
          <w:szCs w:val="22"/>
        </w:rPr>
        <w:t xml:space="preserve">Background of SCDP. </w:t>
      </w:r>
      <w:r w:rsidRPr="00C419B9">
        <w:rPr>
          <w:rFonts w:ascii="Calibri" w:hAnsi="Calibri" w:cs="Calibri"/>
          <w:sz w:val="22"/>
          <w:szCs w:val="22"/>
        </w:rPr>
        <w:t xml:space="preserve">The most divisive issue identified by participants was how the SCDPs’ backgrounds influenced their role. Participants with work experience in a school- whether as teachers or other school staff – considered school experience essential for the SCDP role. Conversely, participants with industry experience insisted that work experience outside the classroom was necessary. Participants with VET experience were confident in their ability to guide school students wanting to pursue further education in the VET sector, or in the higher education sector. Those with personal VET experience effectively linked their lived experiences and labour market knowledge when providing career guidance. They identified that VET delivers strong transition skills from education and training to the workplace </w:t>
      </w:r>
      <w:r w:rsidR="007232C8" w:rsidRPr="00C419B9">
        <w:rPr>
          <w:rFonts w:ascii="Calibri" w:hAnsi="Calibri" w:cs="Calibri"/>
          <w:noProof/>
          <w:sz w:val="22"/>
          <w:szCs w:val="22"/>
        </w:rPr>
        <w:t>(Mikkonen et al., 2017)</w:t>
      </w:r>
      <w:r w:rsidRPr="00C419B9">
        <w:rPr>
          <w:rFonts w:ascii="Calibri" w:hAnsi="Calibri" w:cs="Calibri"/>
          <w:sz w:val="22"/>
          <w:szCs w:val="22"/>
        </w:rPr>
        <w:t>.</w:t>
      </w:r>
    </w:p>
    <w:p w14:paraId="719C624E" w14:textId="71518E72"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b/>
          <w:sz w:val="22"/>
          <w:szCs w:val="22"/>
        </w:rPr>
        <w:t xml:space="preserve">Work Experience. </w:t>
      </w:r>
      <w:r w:rsidRPr="00C419B9">
        <w:rPr>
          <w:rFonts w:ascii="Calibri" w:hAnsi="Calibri" w:cs="Calibri"/>
          <w:sz w:val="22"/>
          <w:szCs w:val="22"/>
        </w:rPr>
        <w:t xml:space="preserve">Participants were quite forthright in stating that SCDPs with work experience solely within a school environment often lack comprehensive labour market information, as they do not possess the lived experience of those whose work experience includes industry settings. Participants with industry experience outside a school environment identified their career education and development qualifications a validating environment, as their work experience could be directly related to providing accurate and current career guidance. </w:t>
      </w:r>
    </w:p>
    <w:p w14:paraId="17742F0B" w14:textId="2D4EA83C"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Following completion of their career education and development qualification, participants noted that peer students with only school-based work experience had an insular understanding of occupations and career pathways. Conversely, those with school experience valued this background for its </w:t>
      </w:r>
      <w:r w:rsidRPr="00C419B9">
        <w:rPr>
          <w:rFonts w:ascii="Calibri" w:hAnsi="Calibri" w:cs="Calibri"/>
          <w:sz w:val="22"/>
          <w:szCs w:val="22"/>
        </w:rPr>
        <w:lastRenderedPageBreak/>
        <w:t xml:space="preserve">relevance to their SCDP role. Participant HAR </w:t>
      </w:r>
      <w:r w:rsidR="007232C8" w:rsidRPr="00C419B9">
        <w:rPr>
          <w:rFonts w:ascii="Calibri" w:hAnsi="Calibri" w:cs="Calibri"/>
          <w:noProof/>
          <w:sz w:val="22"/>
          <w:szCs w:val="22"/>
        </w:rPr>
        <w:t>(2021)</w:t>
      </w:r>
      <w:r w:rsidRPr="00C419B9">
        <w:rPr>
          <w:rFonts w:ascii="Calibri" w:hAnsi="Calibri" w:cs="Calibri"/>
          <w:sz w:val="22"/>
          <w:szCs w:val="22"/>
        </w:rPr>
        <w:t xml:space="preserve"> recommended that SCDPs are also teachers, as they personally can:</w:t>
      </w:r>
    </w:p>
    <w:p w14:paraId="5F3D7144"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i/>
          <w:iCs/>
          <w:sz w:val="22"/>
          <w:szCs w:val="22"/>
        </w:rPr>
        <w:t>Get up and present information and get up in front of the room and I…just think teachers who are used to that, know how to do that, and hold a classroom...also, understanding what it's like, a bit more in the classroom and that learning side of things I think is important.</w:t>
      </w:r>
      <w:r w:rsidRPr="00C419B9">
        <w:rPr>
          <w:rFonts w:ascii="Calibri" w:hAnsi="Calibri" w:cs="Calibri"/>
          <w:sz w:val="22"/>
          <w:szCs w:val="22"/>
        </w:rPr>
        <w:t xml:space="preserve"> </w:t>
      </w:r>
      <w:r w:rsidRPr="00C419B9">
        <w:rPr>
          <w:rFonts w:ascii="Calibri" w:hAnsi="Calibri" w:cs="Calibri"/>
          <w:noProof/>
          <w:sz w:val="22"/>
          <w:szCs w:val="22"/>
        </w:rPr>
        <w:t>(</w:t>
      </w:r>
      <w:r w:rsidRPr="00C419B9">
        <w:rPr>
          <w:rFonts w:ascii="Calibri" w:hAnsi="Calibri" w:cs="Calibri"/>
          <w:sz w:val="22"/>
          <w:szCs w:val="22"/>
        </w:rPr>
        <w:t>HAR, 2021</w:t>
      </w:r>
      <w:r w:rsidRPr="00C419B9">
        <w:rPr>
          <w:rFonts w:ascii="Calibri" w:hAnsi="Calibri" w:cs="Calibri"/>
          <w:noProof/>
          <w:sz w:val="22"/>
          <w:szCs w:val="22"/>
        </w:rPr>
        <w:t>)</w:t>
      </w:r>
      <w:r w:rsidRPr="00C419B9">
        <w:rPr>
          <w:rFonts w:ascii="Calibri" w:hAnsi="Calibri" w:cs="Calibri"/>
          <w:sz w:val="22"/>
          <w:szCs w:val="22"/>
        </w:rPr>
        <w:t xml:space="preserve"> </w:t>
      </w:r>
    </w:p>
    <w:p w14:paraId="532F275A" w14:textId="064254AE"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Whilst being able to present or facilitate learning in a school classroom is a valuable skill that HAR identified, those participants who are trainers in the VET sector also possess these facilitation skills. </w:t>
      </w:r>
    </w:p>
    <w:p w14:paraId="530585E1" w14:textId="3EDD939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TAE40122 Certificate IV in Training and Assessment </w:t>
      </w:r>
      <w:r w:rsidR="00EF7BF0" w:rsidRPr="00C419B9">
        <w:rPr>
          <w:rFonts w:ascii="Calibri" w:hAnsi="Calibri" w:cs="Calibri"/>
          <w:sz w:val="22"/>
          <w:szCs w:val="22"/>
        </w:rPr>
        <w:t>(</w:t>
      </w:r>
      <w:r w:rsidR="000B0CA6" w:rsidRPr="00C419B9">
        <w:rPr>
          <w:rFonts w:ascii="Calibri" w:hAnsi="Calibri" w:cs="Calibri"/>
          <w:sz w:val="22"/>
          <w:szCs w:val="22"/>
        </w:rPr>
        <w:t>TAE</w:t>
      </w:r>
      <w:r w:rsidR="00EF7BF0" w:rsidRPr="00C419B9">
        <w:rPr>
          <w:rFonts w:ascii="Calibri" w:hAnsi="Calibri" w:cs="Calibri"/>
          <w:sz w:val="22"/>
          <w:szCs w:val="22"/>
        </w:rPr>
        <w:t>)</w:t>
      </w:r>
      <w:r w:rsidR="000B0CA6" w:rsidRPr="00C419B9">
        <w:rPr>
          <w:rFonts w:ascii="Calibri" w:hAnsi="Calibri" w:cs="Calibri"/>
          <w:sz w:val="22"/>
          <w:szCs w:val="22"/>
        </w:rPr>
        <w:t xml:space="preserve"> </w:t>
      </w:r>
      <w:r w:rsidRPr="00C419B9">
        <w:rPr>
          <w:rFonts w:ascii="Calibri" w:hAnsi="Calibri" w:cs="Calibri"/>
          <w:sz w:val="22"/>
          <w:szCs w:val="22"/>
        </w:rPr>
        <w:t>is the minimum level of qualification required for training in the VET sector, whereas an education degree focusing on school education is not sufficient to be a trainer in this sector. The TAE qualification includes core and elective ‘delivery’ units of competency, requiring trainers to deliver a minimum of fifteen presentations to obtain their qualification.</w:t>
      </w:r>
    </w:p>
    <w:p w14:paraId="15EDEEF2" w14:textId="2BB25CF1"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i/>
          <w:iCs/>
          <w:sz w:val="22"/>
          <w:szCs w:val="22"/>
        </w:rPr>
        <w:t xml:space="preserve">As part of their VCE subject load [sic] they've sort of wanted to go down the science path. But wanting to do that at a higher education level, they wanted that little bit more practical experience during their VCE. So, they did the VET subjects. </w:t>
      </w:r>
      <w:r w:rsidRPr="00C419B9">
        <w:rPr>
          <w:rFonts w:ascii="Calibri" w:hAnsi="Calibri" w:cs="Calibri"/>
          <w:i/>
          <w:iCs/>
          <w:noProof/>
          <w:sz w:val="22"/>
          <w:szCs w:val="22"/>
        </w:rPr>
        <w:t>(</w:t>
      </w:r>
      <w:r w:rsidRPr="00C419B9">
        <w:rPr>
          <w:rFonts w:ascii="Calibri" w:hAnsi="Calibri" w:cs="Calibri"/>
          <w:sz w:val="22"/>
          <w:szCs w:val="22"/>
        </w:rPr>
        <w:t>HAR, 2021</w:t>
      </w:r>
      <w:r w:rsidRPr="00C419B9">
        <w:rPr>
          <w:rFonts w:ascii="Calibri" w:hAnsi="Calibri" w:cs="Calibri"/>
          <w:i/>
          <w:iCs/>
          <w:noProof/>
          <w:sz w:val="22"/>
          <w:szCs w:val="22"/>
        </w:rPr>
        <w:t>)</w:t>
      </w:r>
    </w:p>
    <w:p w14:paraId="63F46419"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color w:val="0D0D0D" w:themeColor="text1" w:themeTint="F2"/>
          <w:sz w:val="22"/>
          <w:szCs w:val="22"/>
        </w:rPr>
        <w:t xml:space="preserve">Participants with personal VET experience believed they had a deeper understanding of the VET sector, and used their anecdotal knowledge to provide accurate support </w:t>
      </w:r>
      <w:r w:rsidRPr="00C419B9">
        <w:rPr>
          <w:rFonts w:ascii="Calibri" w:hAnsi="Calibri" w:cs="Calibri"/>
          <w:sz w:val="22"/>
          <w:szCs w:val="22"/>
        </w:rPr>
        <w:t xml:space="preserve">to students pursuing VET STEM careers. Conversely, participants with a background in school education, valued their experience working in a school environment that offers VET subjects, and appreciated working with students studying these VET subjects. </w:t>
      </w:r>
    </w:p>
    <w:p w14:paraId="31B0F70A" w14:textId="33C716FC" w:rsidR="00F17101" w:rsidRPr="00C419B9" w:rsidRDefault="00F17101" w:rsidP="007715EE">
      <w:pPr>
        <w:spacing w:line="360" w:lineRule="auto"/>
        <w:ind w:firstLine="0"/>
        <w:jc w:val="both"/>
        <w:rPr>
          <w:rFonts w:ascii="Calibri" w:eastAsia="Century Gothic" w:hAnsi="Calibri" w:cs="Calibri"/>
          <w:sz w:val="22"/>
          <w:szCs w:val="22"/>
        </w:rPr>
      </w:pPr>
      <w:r w:rsidRPr="00C419B9">
        <w:rPr>
          <w:rFonts w:ascii="Calibri" w:eastAsia="Century Gothic" w:hAnsi="Calibri" w:cs="Calibri"/>
          <w:i/>
          <w:iCs/>
          <w:sz w:val="22"/>
          <w:szCs w:val="22"/>
        </w:rPr>
        <w:t xml:space="preserve">When, many, many years before I worked for [VET Institute], at that time was our or vocational pathways partner or auspice? They were our RTO. We engaged them to auspice. The RTO where I worked, who issued the certificate, and when I tried to implement that program into the school, the Deputy Principal felt that it wasn't academic enough. I'm going, “what”? See, this is that you've touched on, because there's a lot of, maybe, I've heard, it's not that I can confirm, but I've heard that a lot of university, Academics, thinking that VET is not academic enough, or rigorous enough, but in actual fact, well, I hope that stigma will reduce actually over time, be, misspelt. But, I think, in part of my role with [VET Institute] was to actually go into schools and talk. And yes, convincing </w:t>
      </w:r>
      <w:proofErr w:type="spellStart"/>
      <w:r w:rsidRPr="00C419B9">
        <w:rPr>
          <w:rFonts w:ascii="Calibri" w:eastAsia="Century Gothic" w:hAnsi="Calibri" w:cs="Calibri"/>
          <w:i/>
          <w:iCs/>
          <w:sz w:val="22"/>
          <w:szCs w:val="22"/>
        </w:rPr>
        <w:t>their</w:t>
      </w:r>
      <w:proofErr w:type="spellEnd"/>
      <w:r w:rsidRPr="00C419B9">
        <w:rPr>
          <w:rFonts w:ascii="Calibri" w:eastAsia="Century Gothic" w:hAnsi="Calibri" w:cs="Calibri"/>
          <w:i/>
          <w:iCs/>
          <w:sz w:val="22"/>
          <w:szCs w:val="22"/>
        </w:rPr>
        <w:t xml:space="preserve">, I guess senior leadership to say VET languages is actually as rigorous. </w:t>
      </w:r>
      <w:r w:rsidR="007232C8" w:rsidRPr="00C419B9">
        <w:rPr>
          <w:rFonts w:ascii="Calibri" w:eastAsia="Century Gothic" w:hAnsi="Calibri" w:cs="Calibri"/>
          <w:i/>
          <w:iCs/>
          <w:noProof/>
          <w:sz w:val="22"/>
          <w:szCs w:val="22"/>
        </w:rPr>
        <w:t>(SKA, 2021)</w:t>
      </w:r>
    </w:p>
    <w:p w14:paraId="6D01F9F2" w14:textId="793BEF13"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CCC </w:t>
      </w:r>
      <w:r w:rsidR="007232C8" w:rsidRPr="00C419B9">
        <w:rPr>
          <w:rFonts w:ascii="Calibri" w:hAnsi="Calibri" w:cs="Calibri"/>
          <w:noProof/>
          <w:sz w:val="22"/>
          <w:szCs w:val="22"/>
        </w:rPr>
        <w:t>(2021)</w:t>
      </w:r>
      <w:r w:rsidR="00BB7112" w:rsidRPr="00C419B9">
        <w:rPr>
          <w:rFonts w:ascii="Calibri" w:hAnsi="Calibri" w:cs="Calibri"/>
          <w:sz w:val="22"/>
          <w:szCs w:val="22"/>
        </w:rPr>
        <w:t xml:space="preserve"> </w:t>
      </w:r>
      <w:r w:rsidRPr="00C419B9">
        <w:rPr>
          <w:rFonts w:ascii="Calibri" w:hAnsi="Calibri" w:cs="Calibri"/>
          <w:sz w:val="22"/>
          <w:szCs w:val="22"/>
        </w:rPr>
        <w:t>identified that in their school, their colleague (another SCDP) is an expert in recommending suitable university programs for students, though they are unfamiliar with the offerings in the VET sector, and discard all VET options within their career guidance. CCC identified that their colleague is uninterested in broadening their career information and education to include this sector.</w:t>
      </w:r>
    </w:p>
    <w:p w14:paraId="7FDEA568" w14:textId="5DCFDACA"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b/>
          <w:sz w:val="22"/>
          <w:szCs w:val="22"/>
        </w:rPr>
        <w:lastRenderedPageBreak/>
        <w:t>VET Issues Within the Interviews.</w:t>
      </w:r>
      <w:r w:rsidRPr="00C419B9">
        <w:rPr>
          <w:rFonts w:ascii="Calibri" w:hAnsi="Calibri" w:cs="Calibri"/>
          <w:sz w:val="22"/>
          <w:szCs w:val="22"/>
        </w:rPr>
        <w:t xml:space="preserve"> The notion of “VET” was misunderstood. In the semi-structured interview, research participant YES</w:t>
      </w:r>
      <w:r w:rsidR="00D615A6" w:rsidRPr="00C419B9">
        <w:rPr>
          <w:rFonts w:ascii="Calibri" w:hAnsi="Calibri" w:cs="Calibri"/>
          <w:sz w:val="22"/>
          <w:szCs w:val="22"/>
        </w:rPr>
        <w:t xml:space="preserve"> </w:t>
      </w:r>
      <w:r w:rsidR="007232C8" w:rsidRPr="00C419B9">
        <w:rPr>
          <w:rFonts w:ascii="Calibri" w:hAnsi="Calibri" w:cs="Calibri"/>
          <w:noProof/>
          <w:sz w:val="22"/>
          <w:szCs w:val="22"/>
        </w:rPr>
        <w:t>(2021)</w:t>
      </w:r>
      <w:r w:rsidRPr="00C419B9">
        <w:rPr>
          <w:rFonts w:ascii="Calibri" w:hAnsi="Calibri" w:cs="Calibri"/>
          <w:sz w:val="22"/>
          <w:szCs w:val="22"/>
        </w:rPr>
        <w:t xml:space="preserve"> provided the following statements as a response to the first question: ‘Provide an example of a situation where you have advised a student about a VET STEM career?’</w:t>
      </w:r>
    </w:p>
    <w:p w14:paraId="1B7C8796"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i/>
          <w:iCs/>
          <w:sz w:val="22"/>
          <w:szCs w:val="22"/>
        </w:rPr>
        <w:t xml:space="preserve">I had a student who wanted to go into veterinary medicine, but they didn't have the marks to get in. And then, we suggested one of the TAFE degrees in veterinary nursing as a starting point and she was thinking about it, and I think after she graduated, she took a gap year, she did get into some science program or another </w:t>
      </w:r>
      <w:proofErr w:type="spellStart"/>
      <w:r w:rsidRPr="00C419B9">
        <w:rPr>
          <w:rFonts w:ascii="Calibri" w:hAnsi="Calibri" w:cs="Calibri"/>
          <w:i/>
          <w:iCs/>
          <w:sz w:val="22"/>
          <w:szCs w:val="22"/>
        </w:rPr>
        <w:t>uni</w:t>
      </w:r>
      <w:proofErr w:type="spellEnd"/>
      <w:r w:rsidRPr="00C419B9">
        <w:rPr>
          <w:rFonts w:ascii="Calibri" w:hAnsi="Calibri" w:cs="Calibri"/>
          <w:i/>
          <w:iCs/>
          <w:sz w:val="22"/>
          <w:szCs w:val="22"/>
        </w:rPr>
        <w:t xml:space="preserve">, but she took a gap year to do the TAFE course that we recommended. </w:t>
      </w:r>
      <w:r w:rsidRPr="00C419B9">
        <w:rPr>
          <w:rFonts w:ascii="Calibri" w:hAnsi="Calibri" w:cs="Calibri"/>
          <w:i/>
          <w:iCs/>
          <w:noProof/>
          <w:sz w:val="22"/>
          <w:szCs w:val="22"/>
        </w:rPr>
        <w:t>(</w:t>
      </w:r>
      <w:r w:rsidRPr="00C419B9">
        <w:rPr>
          <w:rFonts w:ascii="Calibri" w:hAnsi="Calibri" w:cs="Calibri"/>
          <w:sz w:val="22"/>
          <w:szCs w:val="22"/>
        </w:rPr>
        <w:t>YES, 2021</w:t>
      </w:r>
      <w:r w:rsidRPr="00C419B9">
        <w:rPr>
          <w:rFonts w:ascii="Calibri" w:hAnsi="Calibri" w:cs="Calibri"/>
          <w:i/>
          <w:iCs/>
          <w:noProof/>
          <w:sz w:val="22"/>
          <w:szCs w:val="22"/>
        </w:rPr>
        <w:t>)</w:t>
      </w:r>
    </w:p>
    <w:p w14:paraId="136A4243"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As YES had mentioned veterinary science, I was unsure whether they understood what the vocational education and training sector was. This statement indicated that there may have been confusion between veterinary science and vocational education and training. </w:t>
      </w:r>
    </w:p>
    <w:p w14:paraId="6E7CC3BA"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In summary, the SCDPs noted that their work background significantly influenced their roles. A major finding was the widespread lack of understanding of VET pathways and the perception of VET as inferior to a higher education pathway. This misunderstanding impacts the career guidance students receive and highlights the need for better awareness and valuation of VET options.</w:t>
      </w:r>
    </w:p>
    <w:p w14:paraId="2CD393E1" w14:textId="3DB7011F" w:rsidR="00F17101" w:rsidRPr="00C419B9" w:rsidRDefault="00F17101" w:rsidP="007715EE">
      <w:pPr>
        <w:spacing w:line="360" w:lineRule="auto"/>
        <w:ind w:firstLine="0"/>
        <w:jc w:val="both"/>
        <w:rPr>
          <w:rFonts w:ascii="Calibri" w:hAnsi="Calibri" w:cs="Calibri"/>
          <w:b/>
          <w:bCs/>
          <w:i/>
          <w:iCs/>
          <w:sz w:val="22"/>
          <w:szCs w:val="22"/>
        </w:rPr>
      </w:pPr>
      <w:bookmarkStart w:id="44" w:name="_Toc188210638"/>
      <w:r w:rsidRPr="00C419B9">
        <w:rPr>
          <w:rFonts w:ascii="Calibri" w:hAnsi="Calibri" w:cs="Calibri"/>
          <w:b/>
          <w:i/>
          <w:iCs/>
          <w:sz w:val="22"/>
          <w:szCs w:val="22"/>
        </w:rPr>
        <w:t>Quantitative Data Analysis and Findings</w:t>
      </w:r>
      <w:bookmarkEnd w:id="44"/>
    </w:p>
    <w:p w14:paraId="4BDCE46C" w14:textId="16B57E5E"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second </w:t>
      </w:r>
      <w:r w:rsidR="00D41DA5" w:rsidRPr="00C419B9">
        <w:rPr>
          <w:rFonts w:ascii="Calibri" w:hAnsi="Calibri" w:cs="Calibri"/>
          <w:sz w:val="22"/>
          <w:szCs w:val="22"/>
        </w:rPr>
        <w:t>quantitative</w:t>
      </w:r>
      <w:r w:rsidRPr="00C419B9">
        <w:rPr>
          <w:rFonts w:ascii="Calibri" w:hAnsi="Calibri" w:cs="Calibri"/>
          <w:sz w:val="22"/>
          <w:szCs w:val="22"/>
        </w:rPr>
        <w:t xml:space="preserve"> data analysis from the CAAS </w:t>
      </w:r>
      <w:r w:rsidRPr="00C419B9">
        <w:rPr>
          <w:rFonts w:ascii="Calibri" w:hAnsi="Calibri" w:cs="Calibri"/>
          <w:noProof/>
          <w:sz w:val="22"/>
          <w:szCs w:val="22"/>
        </w:rPr>
        <w:t>(</w:t>
      </w:r>
      <w:r w:rsidRPr="00C419B9">
        <w:rPr>
          <w:rFonts w:ascii="Calibri" w:hAnsi="Calibri" w:cs="Calibri"/>
          <w:sz w:val="22"/>
          <w:szCs w:val="22"/>
        </w:rPr>
        <w:t>Savickas &amp; Porfeli, 2011</w:t>
      </w:r>
      <w:r w:rsidRPr="00C419B9">
        <w:rPr>
          <w:rFonts w:ascii="Calibri" w:hAnsi="Calibri" w:cs="Calibri"/>
          <w:noProof/>
          <w:sz w:val="22"/>
          <w:szCs w:val="22"/>
        </w:rPr>
        <w:t>)</w:t>
      </w:r>
      <w:r w:rsidRPr="00C419B9">
        <w:rPr>
          <w:rFonts w:ascii="Calibri" w:hAnsi="Calibri" w:cs="Calibri"/>
          <w:sz w:val="22"/>
          <w:szCs w:val="22"/>
        </w:rPr>
        <w:t xml:space="preserve"> and exploratory survey, which primarily collected quantitative data. Initial data analysis occurred as the data were being collected. The survey questions and interview questions were designed to address the research question. </w:t>
      </w:r>
    </w:p>
    <w:p w14:paraId="339B88F5" w14:textId="72071F91" w:rsidR="00F17101" w:rsidRPr="00C419B9" w:rsidRDefault="00F17101" w:rsidP="007715EE">
      <w:pPr>
        <w:spacing w:line="360" w:lineRule="auto"/>
        <w:ind w:firstLine="0"/>
        <w:jc w:val="both"/>
        <w:rPr>
          <w:rFonts w:ascii="Calibri" w:hAnsi="Calibri" w:cs="Calibri"/>
          <w:b/>
          <w:bCs/>
          <w:i/>
          <w:iCs/>
          <w:sz w:val="22"/>
          <w:szCs w:val="22"/>
        </w:rPr>
      </w:pPr>
      <w:bookmarkStart w:id="45" w:name="_Toc188210644"/>
      <w:r w:rsidRPr="00C419B9">
        <w:rPr>
          <w:rFonts w:ascii="Calibri" w:hAnsi="Calibri" w:cs="Calibri"/>
          <w:b/>
          <w:i/>
          <w:iCs/>
          <w:sz w:val="22"/>
          <w:szCs w:val="22"/>
        </w:rPr>
        <w:t>Overall Findings</w:t>
      </w:r>
      <w:bookmarkEnd w:id="45"/>
    </w:p>
    <w:p w14:paraId="70E1F1DF"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In order to address the overarching research question for this present study: </w:t>
      </w:r>
      <w:r w:rsidRPr="00C419B9">
        <w:rPr>
          <w:rFonts w:ascii="Calibri" w:hAnsi="Calibri" w:cs="Calibri"/>
          <w:i/>
          <w:iCs/>
          <w:sz w:val="22"/>
          <w:szCs w:val="22"/>
        </w:rPr>
        <w:t xml:space="preserve">RQ: </w:t>
      </w:r>
      <w:r w:rsidRPr="00C419B9">
        <w:rPr>
          <w:rFonts w:ascii="Calibri" w:hAnsi="Calibri" w:cs="Calibri"/>
          <w:i/>
          <w:iCs/>
          <w:sz w:val="22"/>
          <w:szCs w:val="22"/>
          <w:lang w:val="en-GB"/>
        </w:rPr>
        <w:t>How do SCDP's develop their career adaptability as practitioners through their experiences guiding students pursuing VET STEM careers?</w:t>
      </w:r>
      <w:r w:rsidRPr="00C419B9">
        <w:rPr>
          <w:rFonts w:ascii="Calibri" w:hAnsi="Calibri" w:cs="Calibri"/>
          <w:sz w:val="22"/>
          <w:szCs w:val="22"/>
          <w:lang w:val="en-GB"/>
        </w:rPr>
        <w:t>,</w:t>
      </w:r>
      <w:r w:rsidRPr="00C419B9">
        <w:rPr>
          <w:rFonts w:ascii="Calibri" w:hAnsi="Calibri" w:cs="Calibri"/>
          <w:sz w:val="22"/>
          <w:szCs w:val="22"/>
        </w:rPr>
        <w:t xml:space="preserve"> the CAAS was used to identify what psychosocial influences were present for the SCDP role, and how this affects their career adaptability. </w:t>
      </w:r>
    </w:p>
    <w:p w14:paraId="2708F42B"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After the concurrent data collection process, the concurrent data analysis was performed. To determine whether there were differences and similarities between the qualitative and quantitative data, the qualitative data from the survey was compared with the six themes identified from the reflexive thematic analysis. The six themes identified in the reflexive thematic analysis are presented with the additional quantitative findings.</w:t>
      </w:r>
    </w:p>
    <w:p w14:paraId="0E6ECD1C" w14:textId="03A7BAE9" w:rsidR="00F17101" w:rsidRPr="00C419B9" w:rsidRDefault="00F17101" w:rsidP="007715EE">
      <w:pPr>
        <w:spacing w:line="360" w:lineRule="auto"/>
        <w:ind w:firstLine="0"/>
        <w:jc w:val="both"/>
        <w:rPr>
          <w:rFonts w:ascii="Calibri" w:hAnsi="Calibri" w:cs="Calibri"/>
          <w:b/>
          <w:bCs/>
          <w:i/>
          <w:iCs/>
          <w:sz w:val="22"/>
          <w:szCs w:val="22"/>
        </w:rPr>
      </w:pPr>
      <w:bookmarkStart w:id="46" w:name="_Toc188210648"/>
      <w:r w:rsidRPr="00C419B9">
        <w:rPr>
          <w:rFonts w:ascii="Calibri" w:hAnsi="Calibri" w:cs="Calibri"/>
          <w:b/>
          <w:i/>
          <w:iCs/>
          <w:sz w:val="22"/>
          <w:szCs w:val="22"/>
        </w:rPr>
        <w:t>VET Issues</w:t>
      </w:r>
      <w:bookmarkEnd w:id="46"/>
    </w:p>
    <w:p w14:paraId="4BBF6AEF" w14:textId="4A32FD08"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data analyses provided diverse types of data, and the view of the VET sector was one example of how the two analyses provided nonconvergent results. For question 20, 43.6 % believe that VET </w:t>
      </w:r>
      <w:r w:rsidRPr="00C419B9">
        <w:rPr>
          <w:rFonts w:ascii="Calibri" w:hAnsi="Calibri" w:cs="Calibri"/>
          <w:sz w:val="22"/>
          <w:szCs w:val="22"/>
        </w:rPr>
        <w:lastRenderedPageBreak/>
        <w:t>experience outside a school role is necessary for the role, and 48.6% of the participants identified that they have work experience in the VET sector. In the interviews, 77.8% of the respondents identified that they had experience working in the VET sector. The interview participants with a VET background indicated that it is necessary for the SCDP role, and they also had an accurate understanding of the VET sector, than those SCDPs without VET experience.</w:t>
      </w:r>
    </w:p>
    <w:p w14:paraId="097642C5"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When asked whether the SCDPs promote the VET sector when guiding students, 85.7% of the survey respondents indicated “definitely yes,” 8.6% indicated “probably yes,” and 5.7% indicated “might or might not.”</w:t>
      </w:r>
    </w:p>
    <w:p w14:paraId="18EC4148" w14:textId="77777777" w:rsidR="00F17101" w:rsidRPr="00C419B9" w:rsidRDefault="00F17101" w:rsidP="007715EE">
      <w:pPr>
        <w:spacing w:line="360" w:lineRule="auto"/>
        <w:ind w:firstLine="0"/>
        <w:jc w:val="both"/>
        <w:rPr>
          <w:rFonts w:ascii="Calibri" w:eastAsia="Times New Roman" w:hAnsi="Calibri" w:cs="Calibri"/>
          <w:bCs/>
          <w:color w:val="000000"/>
          <w:sz w:val="22"/>
          <w:szCs w:val="22"/>
          <w:lang w:eastAsia="en-AU"/>
        </w:rPr>
      </w:pPr>
      <w:r w:rsidRPr="00C419B9">
        <w:rPr>
          <w:rFonts w:ascii="Calibri" w:hAnsi="Calibri" w:cs="Calibri"/>
          <w:sz w:val="22"/>
          <w:szCs w:val="22"/>
        </w:rPr>
        <w:t xml:space="preserve">From the survey, question 25: </w:t>
      </w:r>
      <w:r w:rsidRPr="00C419B9">
        <w:rPr>
          <w:rFonts w:ascii="Calibri" w:hAnsi="Calibri" w:cs="Calibri"/>
          <w:i/>
          <w:iCs/>
          <w:color w:val="000000"/>
          <w:sz w:val="22"/>
          <w:szCs w:val="22"/>
        </w:rPr>
        <w:t>There are barriers to promoting the VET sector in my school</w:t>
      </w:r>
      <w:r w:rsidRPr="00C419B9">
        <w:rPr>
          <w:rFonts w:ascii="Calibri" w:hAnsi="Calibri" w:cs="Calibri"/>
          <w:i/>
          <w:iCs/>
          <w:sz w:val="22"/>
          <w:szCs w:val="22"/>
        </w:rPr>
        <w:t xml:space="preserve">, </w:t>
      </w:r>
      <w:r w:rsidRPr="00C419B9">
        <w:rPr>
          <w:rFonts w:ascii="Calibri" w:hAnsi="Calibri" w:cs="Calibri"/>
          <w:sz w:val="22"/>
          <w:szCs w:val="22"/>
        </w:rPr>
        <w:t xml:space="preserve">the responses included the following themes: </w:t>
      </w:r>
      <w:r w:rsidRPr="00C419B9">
        <w:rPr>
          <w:rFonts w:ascii="Calibri" w:eastAsia="Times New Roman" w:hAnsi="Calibri" w:cs="Calibri"/>
          <w:color w:val="000000"/>
          <w:sz w:val="22"/>
          <w:szCs w:val="22"/>
          <w:lang w:eastAsia="en-AU"/>
        </w:rPr>
        <w:t>Low regard for VET pathways in schools, and VET does not meet the highly academic school ethos; lack of options available for students, especially when they are geographically- and financially-challenged; administrative barriers, such as the cost to the school, the restrictions of the timetable, and insufficient VET subjects offered at their school; parental expectations; teachers are not TAE qualified, and are reluctant to do further studies, and the school is not a Registered Training Organisation.</w:t>
      </w:r>
    </w:p>
    <w:p w14:paraId="3A912619"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The responses received indicate many reasons for schools not supporting students wishing to pursue a VET pathway, though the consensus was that VET is viewed as less prestigious than completion of a higher education qualification. There are both psychosocial reasons identified, for example, “</w:t>
      </w:r>
      <w:r w:rsidRPr="00C419B9">
        <w:rPr>
          <w:rFonts w:ascii="Calibri" w:eastAsia="Times New Roman" w:hAnsi="Calibri" w:cs="Calibri"/>
          <w:color w:val="000000"/>
          <w:sz w:val="22"/>
          <w:szCs w:val="22"/>
          <w:lang w:eastAsia="en-AU"/>
        </w:rPr>
        <w:t>the lack of knowledge and awareness amongst other staff members, parents and the students</w:t>
      </w:r>
      <w:r w:rsidRPr="00C419B9">
        <w:rPr>
          <w:rFonts w:ascii="Calibri" w:hAnsi="Calibri" w:cs="Calibri"/>
          <w:sz w:val="22"/>
          <w:szCs w:val="22"/>
        </w:rPr>
        <w:t xml:space="preserve"> “ (anonymous participant, 2021), and sociocultural reasons, such as the prestigious reputation of the school.</w:t>
      </w:r>
    </w:p>
    <w:p w14:paraId="6D6F56BC"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Another VET issue is the assumption that VET only refers to subjects selected in school, mistakenly, in lieu of the entire VET sector where a qualification is completed. The survey participants indicated that there are structural issues with completing VET subjects, such as timetable clashes and teachers not being qualified to teach VET subjects. Unfortunately, a lack of having current and accurate information is again an issue, as many of the survey respondent comments were based on either ignorance or incorrect information. For the survey respondents who indicated that VET is seen to be less prestigious to higher education, this seems to be a self-fulfilling prophecy. By mistakenly believing that VET is a unique choice, not a pathway element, all stakeholders are at risk of believing inaccurate information, and transmitting it too.</w:t>
      </w:r>
    </w:p>
    <w:p w14:paraId="635F5957"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view of VET was mixed, and contained many misconceptions. For example, the research participants’ view of the VET sector was an identifiable theme. Participants mistakenly believed that the acronym VET referred to when students selecting VET subjects in school. The types of school subjects were identified to be the non-academic subjects where the results were used in the calculation of a final ranking score. </w:t>
      </w:r>
    </w:p>
    <w:p w14:paraId="5BF33FF0"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lastRenderedPageBreak/>
        <w:t>With regards to the recommended qualifications for the SCDP position, the data from the survey was collated. The participants identified whether possessing a teaching/education qualification was a requirement, 21.4% of participants identified this as an essential requirement, 45.7% identified this as a desirable requirement, and 32.9% identified this as not applicable. The interview participants identified that a teaching/education qualification is a requirement is 33.3% of the respondents.</w:t>
      </w:r>
    </w:p>
    <w:p w14:paraId="4DCBBA1A"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With regards to possessing an undergraduate non-education degree, such as a STEM degree, 10% identified this as an essential requirement, 28.6% identified this as a desirable requirement, and 61.4% identified this as not applicable. Possessing a VET trade qualification, 1.4% identified this as an essential requirement, 32.9% identified this as a desirable requirement, and 65.7% identified this as not applicable. Possessing another VET qualification, 1.4% identified this as an essential requirement, 35.7% identified this as a desirable requirement, and 62.9% identified this as not applicable.</w:t>
      </w:r>
    </w:p>
    <w:p w14:paraId="1BAF62AC"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To maintain their vocational competency and currency, the participants indicated that completing supervised work experience with a SCDP, whilst completing the career development qualification, like the practicum that student teachers are required to complete, 31.4% identified this as an essential requirement, 44.3% identified this as a desirable requirement, and 62.9% identified this as not applicable. Though, completing work experience in a non-teaching role, 1.4% identified this as an essential requirement, 34.3% identified this as a desirable requirement, and 34.3% identified this as not applicable. Completing VET experience outside a school environment (such as in an RTO), 25.7% identified this as an essential requirement, 52.9% identified this as a desirable requirement, and 21.4% identified this as not applicable. Of the interview participants who responded, 44.4% identified that working with children is essential, and 33.3% identified that work experience outside a school is required.</w:t>
      </w:r>
    </w:p>
    <w:p w14:paraId="32692831"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Specific school experience was identified. Having worked with children, 71.4% identified this as an essential requirement, 22.9% identified this as a desirable requirement, and 5.7% identified this as not applicable. Possessing teaching experience, 1.4% identified this as an essential requirement, 48.6% identified this as a desirable requirement, and 35.7% identified this as not applicable.</w:t>
      </w:r>
    </w:p>
    <w:p w14:paraId="0737B320"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Possessing current and accurate professional development experience, 87.1% identified this as an essential requirement, 11.4% identified this as a desirable requirement, and 1.4% identified this as not applicable.</w:t>
      </w:r>
    </w:p>
    <w:p w14:paraId="124C4B58" w14:textId="2E71A3AF" w:rsidR="00F17101" w:rsidRPr="00C419B9" w:rsidRDefault="00F17101" w:rsidP="007715EE">
      <w:pPr>
        <w:spacing w:line="360" w:lineRule="auto"/>
        <w:ind w:firstLine="0"/>
        <w:jc w:val="both"/>
        <w:rPr>
          <w:rFonts w:ascii="Calibri" w:hAnsi="Calibri" w:cs="Calibri"/>
          <w:b/>
          <w:bCs/>
          <w:i/>
          <w:iCs/>
          <w:sz w:val="22"/>
          <w:szCs w:val="22"/>
        </w:rPr>
      </w:pPr>
      <w:bookmarkStart w:id="47" w:name="_Toc188210651"/>
      <w:r w:rsidRPr="00C419B9">
        <w:rPr>
          <w:rFonts w:ascii="Calibri" w:hAnsi="Calibri" w:cs="Calibri"/>
          <w:b/>
          <w:i/>
          <w:iCs/>
          <w:sz w:val="22"/>
          <w:szCs w:val="22"/>
        </w:rPr>
        <w:t>Addressing the Research Questions</w:t>
      </w:r>
      <w:bookmarkEnd w:id="47"/>
    </w:p>
    <w:p w14:paraId="13F31C4E" w14:textId="77777777" w:rsidR="00F17101" w:rsidRPr="00C419B9" w:rsidRDefault="00F17101" w:rsidP="007715EE">
      <w:pPr>
        <w:spacing w:line="360" w:lineRule="auto"/>
        <w:ind w:firstLine="0"/>
        <w:jc w:val="both"/>
        <w:rPr>
          <w:rFonts w:ascii="Calibri" w:hAnsi="Calibri" w:cs="Calibri"/>
          <w:sz w:val="22"/>
          <w:szCs w:val="22"/>
        </w:rPr>
      </w:pPr>
      <w:bookmarkStart w:id="48" w:name="_Toc155779350"/>
      <w:r w:rsidRPr="00C419B9">
        <w:rPr>
          <w:rFonts w:ascii="Calibri" w:hAnsi="Calibri" w:cs="Calibri"/>
          <w:sz w:val="22"/>
          <w:szCs w:val="22"/>
        </w:rPr>
        <w:t xml:space="preserve">The research question was addressed by analysing the data collected from the three instruments. Throughout the present study, modifications to the research design revealed unplanned influences. For example, inconsistencies in understanding VET impacted the research design. The social and cultural themes that emerged provided deeper insight into the role of the SCDP, and the inherent </w:t>
      </w:r>
      <w:r w:rsidRPr="00C419B9">
        <w:rPr>
          <w:rFonts w:ascii="Calibri" w:hAnsi="Calibri" w:cs="Calibri"/>
          <w:sz w:val="22"/>
          <w:szCs w:val="22"/>
        </w:rPr>
        <w:lastRenderedPageBreak/>
        <w:t>requirements for ensuring effective career guidance for students pursuing VET STEM careers. Fortunately, the data collected was sufficient for conducting the present study, and the findings section offers a detailed review of how the data analysis addresses the research question.</w:t>
      </w:r>
    </w:p>
    <w:p w14:paraId="53C2D34A" w14:textId="2344EBCE" w:rsidR="00F17101" w:rsidRPr="00C419B9" w:rsidRDefault="00F17101" w:rsidP="007715EE">
      <w:pPr>
        <w:spacing w:line="360" w:lineRule="auto"/>
        <w:ind w:firstLine="0"/>
        <w:jc w:val="both"/>
        <w:rPr>
          <w:rFonts w:ascii="Calibri" w:hAnsi="Calibri" w:cs="Calibri"/>
          <w:color w:val="000000"/>
          <w:sz w:val="22"/>
          <w:szCs w:val="22"/>
        </w:rPr>
      </w:pPr>
      <w:r w:rsidRPr="00C419B9">
        <w:rPr>
          <w:rFonts w:ascii="Calibri" w:eastAsia="Times New Roman" w:hAnsi="Calibri" w:cs="Calibri"/>
          <w:sz w:val="22"/>
          <w:szCs w:val="22"/>
        </w:rPr>
        <w:t>The initial analysis offered multiple examples of the types of career guidance provided to students. While the psychosocial elements underpinning the career guidance were investigated, there was little data indicating that career guidance provided to students pursuing VET STEM careers was specifically VET-focused or directed at STEM careers. Participants had dualistic views: those with VET work experience were fluent in discussing VET options post-schooling. A significant finding was that participants defined VET as alternative subject selection choice in schools, contrasting with more academic subjects. To understand how SCDPs’ career adaptability was influenced by sociocultural elements, interview data indicated that having agency over their careers and by being a voice within the school were essential. However, SCDPs identified that the school environment was not conductive to undertaking their role. They noted that career education needs to start earlier in schools and should be more integration with other school subjects.</w:t>
      </w:r>
      <w:bookmarkStart w:id="49" w:name="_Toc155779348"/>
      <w:bookmarkEnd w:id="48"/>
    </w:p>
    <w:p w14:paraId="63140AF1" w14:textId="15AC93BE" w:rsidR="00CC6D4D" w:rsidRPr="00DE68E1" w:rsidRDefault="00CC6D4D" w:rsidP="007715EE">
      <w:pPr>
        <w:spacing w:line="360" w:lineRule="auto"/>
        <w:ind w:firstLine="0"/>
        <w:jc w:val="both"/>
        <w:rPr>
          <w:rFonts w:ascii="Calibri" w:hAnsi="Calibri" w:cs="Calibri"/>
          <w:b/>
          <w:sz w:val="22"/>
          <w:szCs w:val="22"/>
        </w:rPr>
      </w:pPr>
      <w:bookmarkStart w:id="50" w:name="_Chapter_Eight:_Discussion"/>
      <w:bookmarkStart w:id="51" w:name="_Toc188210657"/>
      <w:bookmarkEnd w:id="50"/>
      <w:r w:rsidRPr="00C419B9">
        <w:rPr>
          <w:rFonts w:ascii="Calibri" w:hAnsi="Calibri" w:cs="Calibri"/>
          <w:sz w:val="22"/>
          <w:szCs w:val="22"/>
        </w:rPr>
        <w:t>Conclusion</w:t>
      </w:r>
    </w:p>
    <w:bookmarkEnd w:id="51"/>
    <w:p w14:paraId="52B9FA17" w14:textId="4624606B" w:rsidR="00F17101" w:rsidRPr="00C419B9" w:rsidRDefault="00F17101" w:rsidP="007715EE">
      <w:pPr>
        <w:spacing w:line="360" w:lineRule="auto"/>
        <w:ind w:firstLine="0"/>
        <w:jc w:val="both"/>
        <w:rPr>
          <w:rFonts w:ascii="Calibri" w:hAnsi="Calibri" w:cs="Calibri"/>
          <w:b/>
          <w:bCs/>
          <w:i/>
          <w:iCs/>
          <w:sz w:val="22"/>
          <w:szCs w:val="22"/>
        </w:rPr>
      </w:pPr>
      <w:r w:rsidRPr="00C419B9">
        <w:rPr>
          <w:rFonts w:ascii="Calibri" w:hAnsi="Calibri" w:cs="Calibri"/>
          <w:b/>
          <w:i/>
          <w:iCs/>
          <w:sz w:val="22"/>
          <w:szCs w:val="22"/>
        </w:rPr>
        <w:t>Bringing It Together: The Study in Context</w:t>
      </w:r>
    </w:p>
    <w:p w14:paraId="43BC150E" w14:textId="11BC5A9F"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literature review in the present study contains an entire </w:t>
      </w:r>
      <w:r w:rsidR="008143CC" w:rsidRPr="00C419B9">
        <w:rPr>
          <w:rFonts w:ascii="Calibri" w:hAnsi="Calibri" w:cs="Calibri"/>
          <w:sz w:val="22"/>
          <w:szCs w:val="22"/>
        </w:rPr>
        <w:t>section</w:t>
      </w:r>
      <w:r w:rsidRPr="00C419B9">
        <w:rPr>
          <w:rFonts w:ascii="Calibri" w:hAnsi="Calibri" w:cs="Calibri"/>
          <w:sz w:val="22"/>
          <w:szCs w:val="22"/>
        </w:rPr>
        <w:t xml:space="preserve"> </w:t>
      </w:r>
      <w:r w:rsidR="00571CF2" w:rsidRPr="00C419B9">
        <w:rPr>
          <w:rFonts w:ascii="Calibri" w:hAnsi="Calibri" w:cs="Calibri"/>
          <w:sz w:val="22"/>
          <w:szCs w:val="22"/>
        </w:rPr>
        <w:t>‘</w:t>
      </w:r>
      <w:r w:rsidRPr="00C419B9">
        <w:rPr>
          <w:rFonts w:ascii="Calibri" w:hAnsi="Calibri" w:cs="Calibri"/>
          <w:sz w:val="22"/>
          <w:szCs w:val="22"/>
        </w:rPr>
        <w:t xml:space="preserve">View of Vocational Education and Training’. Within the literature, VET is a style of learning which focuses on practical knowledge, and the transition from education to the workplace </w:t>
      </w:r>
      <w:r w:rsidR="007232C8" w:rsidRPr="00C419B9">
        <w:rPr>
          <w:rFonts w:ascii="Calibri" w:hAnsi="Calibri" w:cs="Calibri"/>
          <w:noProof/>
          <w:sz w:val="22"/>
          <w:szCs w:val="22"/>
        </w:rPr>
        <w:t>(On Target Work Skills, 2023; State Government of Victoria, 2023)</w:t>
      </w:r>
      <w:r w:rsidRPr="00C419B9">
        <w:rPr>
          <w:rFonts w:ascii="Calibri" w:hAnsi="Calibri" w:cs="Calibri"/>
          <w:sz w:val="22"/>
          <w:szCs w:val="22"/>
        </w:rPr>
        <w:t xml:space="preserve">. VET is a segment of the Australian education sector. VET is governed differently than higher education, and the strong industry representation in the development of training packages, was not commonly identified by the research participants. </w:t>
      </w:r>
    </w:p>
    <w:p w14:paraId="2180859E" w14:textId="0E2A1DBA"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Career education in schools is not the only area where the misunderstanding about what is the VET sector, and further work is required to change this perspective. For example, it was found that the SCDPs who have a working background in industry, or in a registered training organisation, their understanding of VET was more accurate than those from a school background. </w:t>
      </w:r>
    </w:p>
    <w:p w14:paraId="4948A9D7" w14:textId="77777777" w:rsidR="00F17101" w:rsidRPr="00C419B9" w:rsidRDefault="00F17101" w:rsidP="007715EE">
      <w:pPr>
        <w:spacing w:line="360" w:lineRule="auto"/>
        <w:ind w:firstLine="0"/>
        <w:jc w:val="both"/>
        <w:rPr>
          <w:rFonts w:ascii="Calibri" w:hAnsi="Calibri" w:cs="Calibri"/>
          <w:i/>
          <w:iCs/>
          <w:sz w:val="22"/>
          <w:szCs w:val="22"/>
          <w:lang w:val="en-GB"/>
        </w:rPr>
      </w:pPr>
      <w:r w:rsidRPr="00C419B9">
        <w:rPr>
          <w:rFonts w:ascii="Calibri" w:hAnsi="Calibri" w:cs="Calibri"/>
          <w:sz w:val="22"/>
          <w:szCs w:val="22"/>
        </w:rPr>
        <w:t xml:space="preserve">To address the research question, </w:t>
      </w:r>
      <w:r w:rsidRPr="00C419B9">
        <w:rPr>
          <w:rFonts w:ascii="Calibri" w:hAnsi="Calibri" w:cs="Calibri"/>
          <w:i/>
          <w:iCs/>
          <w:sz w:val="22"/>
          <w:szCs w:val="22"/>
          <w:lang w:val="en-GB"/>
        </w:rPr>
        <w:t>How do SCDP's develop their career adaptability as practitioners through their experiences guiding students pursuing VET STEM careers?</w:t>
      </w:r>
      <w:r w:rsidRPr="00C419B9">
        <w:rPr>
          <w:rFonts w:ascii="Calibri" w:hAnsi="Calibri" w:cs="Calibri"/>
          <w:sz w:val="22"/>
          <w:szCs w:val="22"/>
          <w:lang w:val="en-GB"/>
        </w:rPr>
        <w:t xml:space="preserve"> terminology, language and context were found to be influential in identifying how practitioners perform in their role</w:t>
      </w:r>
      <w:r w:rsidRPr="00C419B9">
        <w:rPr>
          <w:rFonts w:ascii="Calibri" w:hAnsi="Calibri" w:cs="Calibri"/>
          <w:sz w:val="22"/>
          <w:szCs w:val="22"/>
        </w:rPr>
        <w:t xml:space="preserve">. Whilst VET STEM careers have been investigated, explicit links between how VET and STEM are addressed within the school career education curriculum were not addressed within the present study, as it is outside of the scope. In the example of a school student who has elected to complete VET subjects within school, this student is being taught content from an accredited training package. Industry develops training packages; therefore industry is guiding the curriculum that the student is being taught, within </w:t>
      </w:r>
      <w:r w:rsidRPr="00C419B9">
        <w:rPr>
          <w:rFonts w:ascii="Calibri" w:hAnsi="Calibri" w:cs="Calibri"/>
          <w:sz w:val="22"/>
          <w:szCs w:val="22"/>
        </w:rPr>
        <w:lastRenderedPageBreak/>
        <w:t xml:space="preserve">their school VET subject. If the student has not elected to study a VET subject within school, the student may learn about industry requirements through the school career education curriculum, which may be delivered by a teacher or a SCDP. The person undertaking the role of delivering career education within a school influences how the content is presented. Industry is represented in the school career education curriculum when a student is pursuing a STEM career through a VET pathway. Career education is influenced for the school student, as they are undertaking a VET qualification. </w:t>
      </w:r>
    </w:p>
    <w:p w14:paraId="03A87081" w14:textId="7DC2E64D"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When addressing the research question, gathering data from the school career development practitioner was used to determine how career education in schools is given. The semi-structured interview was constructed to allow the participants the capacity to draw attention to the inherent requirements of the SCDP position, and provide additional data that was not collected from the C</w:t>
      </w:r>
      <w:r w:rsidR="005D0825" w:rsidRPr="00C419B9">
        <w:rPr>
          <w:rFonts w:ascii="Calibri" w:hAnsi="Calibri" w:cs="Calibri"/>
          <w:sz w:val="22"/>
          <w:szCs w:val="22"/>
        </w:rPr>
        <w:t xml:space="preserve">areer </w:t>
      </w:r>
      <w:r w:rsidRPr="00C419B9">
        <w:rPr>
          <w:rFonts w:ascii="Calibri" w:hAnsi="Calibri" w:cs="Calibri"/>
          <w:sz w:val="22"/>
          <w:szCs w:val="22"/>
        </w:rPr>
        <w:t>A</w:t>
      </w:r>
      <w:r w:rsidR="005D0825" w:rsidRPr="00C419B9">
        <w:rPr>
          <w:rFonts w:ascii="Calibri" w:hAnsi="Calibri" w:cs="Calibri"/>
          <w:sz w:val="22"/>
          <w:szCs w:val="22"/>
        </w:rPr>
        <w:t>dapt-</w:t>
      </w:r>
      <w:r w:rsidRPr="00C419B9">
        <w:rPr>
          <w:rFonts w:ascii="Calibri" w:hAnsi="Calibri" w:cs="Calibri"/>
          <w:sz w:val="22"/>
          <w:szCs w:val="22"/>
        </w:rPr>
        <w:t>A</w:t>
      </w:r>
      <w:r w:rsidR="005D0825" w:rsidRPr="00C419B9">
        <w:rPr>
          <w:rFonts w:ascii="Calibri" w:hAnsi="Calibri" w:cs="Calibri"/>
          <w:sz w:val="22"/>
          <w:szCs w:val="22"/>
        </w:rPr>
        <w:t xml:space="preserve">bilities </w:t>
      </w:r>
      <w:r w:rsidRPr="00C419B9">
        <w:rPr>
          <w:rFonts w:ascii="Calibri" w:hAnsi="Calibri" w:cs="Calibri"/>
          <w:sz w:val="22"/>
          <w:szCs w:val="22"/>
        </w:rPr>
        <w:t>S</w:t>
      </w:r>
      <w:r w:rsidR="005D0825" w:rsidRPr="00C419B9">
        <w:rPr>
          <w:rFonts w:ascii="Calibri" w:hAnsi="Calibri" w:cs="Calibri"/>
          <w:sz w:val="22"/>
          <w:szCs w:val="22"/>
        </w:rPr>
        <w:t>cale</w:t>
      </w:r>
      <w:r w:rsidRPr="00C419B9">
        <w:rPr>
          <w:rFonts w:ascii="Calibri" w:hAnsi="Calibri" w:cs="Calibri"/>
          <w:sz w:val="22"/>
          <w:szCs w:val="22"/>
        </w:rPr>
        <w:t xml:space="preserve"> or survey. Qualitative exploratory questions provided a basis for analysing the CAAS , through a social constructivist lens. The researcher’s experience in the VET sector influenced; their insights into the gaps in knowledge (such as the </w:t>
      </w:r>
      <w:r w:rsidR="00041673" w:rsidRPr="00C419B9">
        <w:rPr>
          <w:rFonts w:ascii="Calibri" w:hAnsi="Calibri" w:cs="Calibri"/>
          <w:sz w:val="22"/>
          <w:szCs w:val="22"/>
        </w:rPr>
        <w:t>‘V</w:t>
      </w:r>
      <w:r w:rsidRPr="00C419B9">
        <w:rPr>
          <w:rFonts w:ascii="Calibri" w:hAnsi="Calibri" w:cs="Calibri"/>
          <w:sz w:val="22"/>
          <w:szCs w:val="22"/>
        </w:rPr>
        <w:t>iew of the VET sector</w:t>
      </w:r>
      <w:r w:rsidR="00041673" w:rsidRPr="00C419B9">
        <w:rPr>
          <w:rFonts w:ascii="Calibri" w:hAnsi="Calibri" w:cs="Calibri"/>
          <w:sz w:val="22"/>
          <w:szCs w:val="22"/>
        </w:rPr>
        <w:t>’</w:t>
      </w:r>
      <w:r w:rsidRPr="00C419B9">
        <w:rPr>
          <w:rFonts w:ascii="Calibri" w:hAnsi="Calibri" w:cs="Calibri"/>
          <w:sz w:val="22"/>
          <w:szCs w:val="22"/>
        </w:rPr>
        <w:t xml:space="preserve">), within this research population, in this educational sector, that can be further quantified by the chosen research design. As the sole researcher collecting data and performing the analyses, insights were shaped by my social constructivist worldview. This perspective adds value to the present study, as my unique perspective is from the viewpoint of a practitioner, where an appreciation for their context is acknowledged. </w:t>
      </w:r>
    </w:p>
    <w:p w14:paraId="11ADF197" w14:textId="04750F4D" w:rsidR="00F17101" w:rsidRPr="00C419B9" w:rsidRDefault="00F17101" w:rsidP="007715EE">
      <w:pPr>
        <w:spacing w:line="360" w:lineRule="auto"/>
        <w:ind w:firstLine="0"/>
        <w:jc w:val="both"/>
        <w:rPr>
          <w:rFonts w:ascii="Calibri" w:hAnsi="Calibri" w:cs="Calibri"/>
          <w:b/>
          <w:bCs/>
          <w:sz w:val="22"/>
          <w:szCs w:val="22"/>
        </w:rPr>
      </w:pPr>
      <w:bookmarkStart w:id="52" w:name="_Toc155779362"/>
      <w:bookmarkStart w:id="53" w:name="_Toc188210667"/>
      <w:r w:rsidRPr="00C419B9">
        <w:rPr>
          <w:rFonts w:ascii="Calibri" w:hAnsi="Calibri" w:cs="Calibri"/>
          <w:b/>
          <w:sz w:val="22"/>
          <w:szCs w:val="22"/>
        </w:rPr>
        <w:t xml:space="preserve">Conclusion </w:t>
      </w:r>
    </w:p>
    <w:bookmarkEnd w:id="52"/>
    <w:bookmarkEnd w:id="53"/>
    <w:p w14:paraId="56AC0A10"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In the present study, the career guidance provided by SCDPs to students pursuing VET STEM careers was investigated. Data from past and current career development practitioners working in Australian schools was collected, and their career adaptability investigated. The SCDPs were surveyed, nine SCDPs were interviewed, and an instrument was used to gather data about the SCDPs’ career adaptability. The Career Construction Theory guided the present study, as it is a career development theory that is competently applied to both the career construction of adolescents, and to those SCDPs guiding them.</w:t>
      </w:r>
    </w:p>
    <w:p w14:paraId="210AF429" w14:textId="77777777" w:rsidR="00F17101"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design of this present study was identified as both inductive and deductive, hence a mixed methods research methodology was used. The research </w:t>
      </w:r>
      <w:r w:rsidRPr="00C419B9">
        <w:rPr>
          <w:rStyle w:val="cf01"/>
          <w:rFonts w:ascii="Calibri" w:hAnsi="Calibri" w:cs="Calibri"/>
          <w:sz w:val="22"/>
          <w:szCs w:val="22"/>
        </w:rPr>
        <w:t>questions provided a way to explore some of the psychological and sociocultural influences on SCDPs to effectively guide students, and the key finding was that this role requires adaptability, and that the role is one that lacks clear boundaries and guidelines for practitioners because of the broad range of ways it is conceptualised in Australian schools.</w:t>
      </w:r>
    </w:p>
    <w:p w14:paraId="1C8A29C6" w14:textId="77777777" w:rsidR="00033348" w:rsidRPr="00C419B9" w:rsidRDefault="00F17101" w:rsidP="007715EE">
      <w:pPr>
        <w:spacing w:line="360" w:lineRule="auto"/>
        <w:ind w:firstLine="0"/>
        <w:jc w:val="both"/>
        <w:rPr>
          <w:rFonts w:ascii="Calibri" w:hAnsi="Calibri" w:cs="Calibri"/>
          <w:sz w:val="22"/>
          <w:szCs w:val="22"/>
        </w:rPr>
      </w:pPr>
      <w:r w:rsidRPr="00C419B9">
        <w:rPr>
          <w:rFonts w:ascii="Calibri" w:hAnsi="Calibri" w:cs="Calibri"/>
          <w:sz w:val="22"/>
          <w:szCs w:val="22"/>
        </w:rPr>
        <w:t xml:space="preserve">The career adaptability of the SCDPs was identified, which is only one aspect affecting how the SCDP is providing current and accurate career guidance. Positionality is identified as providing unique insight into the experience of the participants in this present study. Interpretive results were based on having insider knowledge associated with participants experiences. It was found that the research </w:t>
      </w:r>
      <w:r w:rsidRPr="00C419B9">
        <w:rPr>
          <w:rFonts w:ascii="Calibri" w:hAnsi="Calibri" w:cs="Calibri"/>
          <w:sz w:val="22"/>
          <w:szCs w:val="22"/>
        </w:rPr>
        <w:lastRenderedPageBreak/>
        <w:t xml:space="preserve">participants with work experience in a VET institution presented a current and accurate view of the VET sector. Additionally, the interview participants with VET work experience clearly articulated how their work experience increased their career adaptability. Additionally, those research participants interviewed who had work experience in industry identified that industry knowledge is a requirement for a SCDP to perform their role. Career Construction Theory </w:t>
      </w:r>
      <w:r w:rsidRPr="00C419B9">
        <w:rPr>
          <w:rFonts w:ascii="Calibri" w:hAnsi="Calibri" w:cs="Calibri"/>
          <w:noProof/>
          <w:sz w:val="22"/>
          <w:szCs w:val="22"/>
        </w:rPr>
        <w:t>(</w:t>
      </w:r>
      <w:r w:rsidRPr="00C419B9">
        <w:rPr>
          <w:rFonts w:ascii="Calibri" w:hAnsi="Calibri" w:cs="Calibri"/>
          <w:sz w:val="22"/>
          <w:szCs w:val="22"/>
        </w:rPr>
        <w:t>Savickas, 2002</w:t>
      </w:r>
      <w:r w:rsidRPr="00C419B9">
        <w:rPr>
          <w:rFonts w:ascii="Calibri" w:hAnsi="Calibri" w:cs="Calibri"/>
          <w:noProof/>
          <w:sz w:val="22"/>
          <w:szCs w:val="22"/>
        </w:rPr>
        <w:t xml:space="preserve">, </w:t>
      </w:r>
      <w:r w:rsidRPr="00C419B9">
        <w:rPr>
          <w:rFonts w:ascii="Calibri" w:hAnsi="Calibri" w:cs="Calibri"/>
          <w:sz w:val="22"/>
          <w:szCs w:val="22"/>
        </w:rPr>
        <w:t>2013</w:t>
      </w:r>
      <w:r w:rsidRPr="00C419B9">
        <w:rPr>
          <w:rFonts w:ascii="Calibri" w:hAnsi="Calibri" w:cs="Calibri"/>
          <w:noProof/>
          <w:sz w:val="22"/>
          <w:szCs w:val="22"/>
        </w:rPr>
        <w:t>)</w:t>
      </w:r>
      <w:r w:rsidRPr="00C419B9">
        <w:rPr>
          <w:rFonts w:ascii="Calibri" w:hAnsi="Calibri" w:cs="Calibri"/>
          <w:sz w:val="22"/>
          <w:szCs w:val="22"/>
        </w:rPr>
        <w:t xml:space="preserve"> proposes that when people adapt to their environment with the goal of personally pursuing a particular goal, they are more capable of pursuing a career they are passionate about </w:t>
      </w:r>
      <w:r w:rsidRPr="00C419B9">
        <w:rPr>
          <w:rFonts w:ascii="Calibri" w:hAnsi="Calibri" w:cs="Calibri"/>
          <w:noProof/>
          <w:sz w:val="22"/>
          <w:szCs w:val="22"/>
        </w:rPr>
        <w:t>(</w:t>
      </w:r>
      <w:r w:rsidRPr="00C419B9">
        <w:rPr>
          <w:rFonts w:ascii="Calibri" w:hAnsi="Calibri" w:cs="Calibri"/>
          <w:sz w:val="22"/>
          <w:szCs w:val="22"/>
        </w:rPr>
        <w:t>Savickas, 2013</w:t>
      </w:r>
      <w:r w:rsidRPr="00C419B9">
        <w:rPr>
          <w:rFonts w:ascii="Calibri" w:hAnsi="Calibri" w:cs="Calibri"/>
          <w:noProof/>
          <w:sz w:val="22"/>
          <w:szCs w:val="22"/>
        </w:rPr>
        <w:t>)</w:t>
      </w:r>
      <w:r w:rsidRPr="00C419B9">
        <w:rPr>
          <w:rFonts w:ascii="Calibri" w:hAnsi="Calibri" w:cs="Calibri"/>
          <w:sz w:val="22"/>
          <w:szCs w:val="22"/>
        </w:rPr>
        <w:t>. In this present study, the SCDPs’ career adaptability was examined to determine the career guidance provided to students pursuing VET STEM careers. This present study has investigated the SCDP role in a deeper manner and implications from the research are many. Further research is required to continue this investigation and to increase the awareness of the SCDP role, and to address those challenges faced by SCDPs providing career guidance to students pursuing STEM careers through a VET pathway.</w:t>
      </w:r>
    </w:p>
    <w:p w14:paraId="21FA8E71" w14:textId="77777777" w:rsidR="00B42AE8" w:rsidRPr="00C419B9" w:rsidRDefault="00B42AE8" w:rsidP="007715EE">
      <w:pPr>
        <w:spacing w:after="160" w:line="360" w:lineRule="auto"/>
        <w:ind w:firstLine="0"/>
        <w:rPr>
          <w:rFonts w:ascii="Calibri" w:eastAsiaTheme="majorEastAsia" w:hAnsi="Calibri" w:cs="Calibri"/>
          <w:b/>
          <w:bCs/>
          <w:snapToGrid w:val="0"/>
          <w:color w:val="000000" w:themeColor="text1"/>
          <w:kern w:val="0"/>
          <w:sz w:val="22"/>
          <w:szCs w:val="22"/>
          <w:shd w:val="clear" w:color="auto" w:fill="FFFFFF"/>
          <w14:ligatures w14:val="none"/>
        </w:rPr>
      </w:pPr>
      <w:r w:rsidRPr="00C419B9">
        <w:rPr>
          <w:rFonts w:ascii="Calibri" w:eastAsiaTheme="majorEastAsia" w:hAnsi="Calibri" w:cs="Calibri"/>
          <w:b/>
          <w:bCs/>
          <w:snapToGrid w:val="0"/>
          <w:color w:val="000000" w:themeColor="text1"/>
          <w:kern w:val="0"/>
          <w:sz w:val="22"/>
          <w:szCs w:val="22"/>
          <w:shd w:val="clear" w:color="auto" w:fill="FFFFFF"/>
          <w14:ligatures w14:val="none"/>
        </w:rPr>
        <w:br w:type="page"/>
      </w:r>
    </w:p>
    <w:p w14:paraId="7634BA80" w14:textId="77777777" w:rsidR="00500AB8" w:rsidRPr="00C419B9" w:rsidRDefault="00500AB8" w:rsidP="007715EE">
      <w:pPr>
        <w:widowControl w:val="0"/>
        <w:tabs>
          <w:tab w:val="num" w:pos="720"/>
        </w:tabs>
        <w:kinsoku w:val="0"/>
        <w:overflowPunct w:val="0"/>
        <w:adjustRightInd w:val="0"/>
        <w:snapToGrid w:val="0"/>
        <w:spacing w:line="360" w:lineRule="auto"/>
        <w:ind w:firstLine="0"/>
        <w:jc w:val="both"/>
        <w:rPr>
          <w:rFonts w:ascii="Calibri" w:eastAsiaTheme="majorEastAsia" w:hAnsi="Calibri" w:cs="Calibri"/>
          <w:b/>
          <w:bCs/>
          <w:snapToGrid w:val="0"/>
          <w:color w:val="000000" w:themeColor="text1"/>
          <w:kern w:val="0"/>
          <w:sz w:val="22"/>
          <w:szCs w:val="22"/>
          <w:shd w:val="clear" w:color="auto" w:fill="FFFFFF"/>
          <w14:ligatures w14:val="none"/>
        </w:rPr>
      </w:pPr>
      <w:r w:rsidRPr="00C419B9">
        <w:rPr>
          <w:rFonts w:ascii="Calibri" w:eastAsiaTheme="majorEastAsia" w:hAnsi="Calibri" w:cs="Calibri"/>
          <w:b/>
          <w:bCs/>
          <w:snapToGrid w:val="0"/>
          <w:color w:val="000000" w:themeColor="text1"/>
          <w:kern w:val="0"/>
          <w:sz w:val="22"/>
          <w:szCs w:val="22"/>
          <w:shd w:val="clear" w:color="auto" w:fill="FFFFFF"/>
          <w14:ligatures w14:val="none"/>
        </w:rPr>
        <w:lastRenderedPageBreak/>
        <w:t>Figure 1</w:t>
      </w:r>
    </w:p>
    <w:p w14:paraId="5FE3C4F9" w14:textId="47B30965" w:rsidR="00500AB8" w:rsidRPr="00C419B9" w:rsidRDefault="00500AB8" w:rsidP="007715EE">
      <w:pPr>
        <w:spacing w:line="360" w:lineRule="auto"/>
        <w:ind w:firstLine="0"/>
        <w:jc w:val="both"/>
        <w:rPr>
          <w:rFonts w:ascii="Calibri" w:hAnsi="Calibri" w:cs="Calibri"/>
          <w:i/>
          <w:iCs/>
          <w:sz w:val="22"/>
          <w:szCs w:val="22"/>
        </w:rPr>
      </w:pPr>
      <w:r w:rsidRPr="00C419B9">
        <w:rPr>
          <w:rFonts w:ascii="Calibri" w:hAnsi="Calibri" w:cs="Calibri"/>
          <w:i/>
          <w:iCs/>
          <w:sz w:val="22"/>
          <w:szCs w:val="22"/>
        </w:rPr>
        <w:t xml:space="preserve">The Career Construction Model of Adaptation </w:t>
      </w:r>
      <w:r w:rsidR="007232C8" w:rsidRPr="00C419B9">
        <w:rPr>
          <w:rFonts w:ascii="Calibri" w:hAnsi="Calibri" w:cs="Calibri"/>
          <w:noProof/>
          <w:sz w:val="22"/>
          <w:szCs w:val="22"/>
        </w:rPr>
        <w:t>(adapted from Neureiter &amp; Traut-Mattausch, 2017, p. 58)</w:t>
      </w:r>
    </w:p>
    <w:p w14:paraId="400863B1" w14:textId="77777777" w:rsidR="00500AB8" w:rsidRPr="00C419B9" w:rsidRDefault="00500AB8" w:rsidP="007715EE">
      <w:pPr>
        <w:widowControl w:val="0"/>
        <w:kinsoku w:val="0"/>
        <w:overflowPunct w:val="0"/>
        <w:adjustRightInd w:val="0"/>
        <w:snapToGrid w:val="0"/>
        <w:spacing w:line="360" w:lineRule="auto"/>
        <w:ind w:firstLine="0"/>
        <w:jc w:val="both"/>
        <w:rPr>
          <w:rFonts w:ascii="Calibri" w:eastAsia="Calibri" w:hAnsi="Calibri" w:cs="Calibri"/>
          <w:i/>
          <w:snapToGrid w:val="0"/>
          <w:color w:val="000000"/>
          <w:kern w:val="0"/>
          <w:sz w:val="22"/>
          <w:szCs w:val="22"/>
          <w:shd w:val="clear" w:color="auto" w:fill="FFFFFF"/>
          <w:lang w:eastAsia="en-AU"/>
          <w14:ligatures w14:val="none"/>
        </w:rPr>
      </w:pPr>
    </w:p>
    <w:p w14:paraId="1CE551F9" w14:textId="77777777" w:rsidR="00500AB8" w:rsidRPr="00C419B9" w:rsidRDefault="00500AB8" w:rsidP="007715EE">
      <w:pPr>
        <w:spacing w:line="360" w:lineRule="auto"/>
        <w:ind w:firstLine="0"/>
        <w:jc w:val="both"/>
        <w:rPr>
          <w:rFonts w:ascii="Calibri" w:hAnsi="Calibri" w:cs="Calibri"/>
          <w:sz w:val="22"/>
          <w:szCs w:val="22"/>
        </w:rPr>
      </w:pPr>
      <w:r w:rsidRPr="00C419B9">
        <w:rPr>
          <w:rFonts w:ascii="Calibri" w:hAnsi="Calibri" w:cs="Calibri"/>
          <w:noProof/>
          <w:sz w:val="22"/>
          <w:szCs w:val="22"/>
        </w:rPr>
        <w:drawing>
          <wp:inline distT="0" distB="0" distL="0" distR="0" wp14:anchorId="24867AAD" wp14:editId="561D01AF">
            <wp:extent cx="5675649" cy="2837825"/>
            <wp:effectExtent l="0" t="0" r="1270" b="635"/>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agram&#10;&#10;Description automatically generated"/>
                    <pic:cNvPicPr>
                      <a:picLocks noChangeAspect="1"/>
                    </pic:cNvPicPr>
                  </pic:nvPicPr>
                  <pic:blipFill>
                    <a:blip r:embed="rId12"/>
                    <a:stretch/>
                  </pic:blipFill>
                  <pic:spPr bwMode="auto">
                    <a:xfrm>
                      <a:off x="0" y="0"/>
                      <a:ext cx="5716561" cy="2858281"/>
                    </a:xfrm>
                    <a:prstGeom prst="rect">
                      <a:avLst/>
                    </a:prstGeom>
                    <a:noFill/>
                    <a:ln>
                      <a:noFill/>
                    </a:ln>
                  </pic:spPr>
                </pic:pic>
              </a:graphicData>
            </a:graphic>
          </wp:inline>
        </w:drawing>
      </w:r>
    </w:p>
    <w:p w14:paraId="54812EFD" w14:textId="3BE35D96" w:rsidR="00F17101" w:rsidRPr="00C419B9" w:rsidRDefault="00F17101" w:rsidP="007715EE">
      <w:pPr>
        <w:spacing w:line="360" w:lineRule="auto"/>
        <w:ind w:firstLine="0"/>
        <w:jc w:val="both"/>
        <w:rPr>
          <w:rFonts w:ascii="Calibri" w:eastAsia="Times New Roman" w:hAnsi="Calibri" w:cs="Calibri"/>
          <w:bCs/>
          <w:color w:val="000000"/>
          <w:sz w:val="22"/>
          <w:szCs w:val="22"/>
          <w:lang w:eastAsia="en-AU"/>
        </w:rPr>
      </w:pPr>
      <w:r w:rsidRPr="00C419B9">
        <w:rPr>
          <w:rFonts w:ascii="Calibri" w:eastAsia="Times New Roman" w:hAnsi="Calibri" w:cs="Calibri"/>
          <w:color w:val="000000"/>
          <w:sz w:val="22"/>
          <w:szCs w:val="22"/>
          <w:lang w:eastAsia="en-AU"/>
        </w:rPr>
        <w:br w:type="page"/>
      </w:r>
    </w:p>
    <w:p w14:paraId="203D91C3" w14:textId="77777777" w:rsidR="00F17101" w:rsidRPr="00C419B9" w:rsidRDefault="00CC6D4D" w:rsidP="007715EE">
      <w:pPr>
        <w:pStyle w:val="Heading2"/>
        <w:spacing w:before="0" w:after="0" w:line="360" w:lineRule="auto"/>
        <w:ind w:firstLine="0"/>
        <w:jc w:val="both"/>
        <w:rPr>
          <w:rFonts w:ascii="Calibri" w:hAnsi="Calibri" w:cs="Calibri"/>
          <w:sz w:val="22"/>
          <w:szCs w:val="22"/>
        </w:rPr>
      </w:pPr>
      <w:bookmarkStart w:id="54" w:name="_Toc188210672"/>
      <w:bookmarkEnd w:id="49"/>
      <w:r w:rsidRPr="00C419B9">
        <w:rPr>
          <w:rFonts w:ascii="Calibri" w:hAnsi="Calibri" w:cs="Calibri"/>
          <w:sz w:val="22"/>
          <w:szCs w:val="22"/>
        </w:rPr>
        <w:lastRenderedPageBreak/>
        <w:t>Bibliographical References</w:t>
      </w:r>
      <w:bookmarkEnd w:id="54"/>
    </w:p>
    <w:p w14:paraId="26D93D6D" w14:textId="77777777" w:rsidR="002A4379" w:rsidRPr="00C419B9" w:rsidRDefault="002A4379" w:rsidP="007715EE">
      <w:pPr>
        <w:spacing w:line="360" w:lineRule="auto"/>
        <w:rPr>
          <w:rFonts w:ascii="Calibri" w:hAnsi="Calibri" w:cs="Calibri"/>
          <w:sz w:val="22"/>
          <w:szCs w:val="22"/>
        </w:rPr>
      </w:pPr>
    </w:p>
    <w:p w14:paraId="1C96A1C5" w14:textId="0FA610DE"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Ackehurst, M., Chan, L., &amp; Erzinger, T. (2022). What if we could eliminate the stigma of VET? </w:t>
      </w:r>
    </w:p>
    <w:p w14:paraId="52ECF2F2" w14:textId="4B9D3B53"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Anderson, J., &amp; Lightfoot, A. (2022). Exploratory survey research. In </w:t>
      </w:r>
      <w:r w:rsidRPr="00C419B9">
        <w:rPr>
          <w:rFonts w:ascii="Calibri" w:hAnsi="Calibri" w:cs="Calibri"/>
          <w:i/>
          <w:noProof/>
          <w:sz w:val="22"/>
          <w:szCs w:val="22"/>
        </w:rPr>
        <w:t>Research Methods in Language Teaching and Learning: A Practical Guide</w:t>
      </w:r>
      <w:r w:rsidRPr="00C419B9">
        <w:rPr>
          <w:rFonts w:ascii="Calibri" w:hAnsi="Calibri" w:cs="Calibri"/>
          <w:noProof/>
          <w:sz w:val="22"/>
          <w:szCs w:val="22"/>
        </w:rPr>
        <w:t xml:space="preserve"> (pp. 182–199). Wiley. </w:t>
      </w:r>
      <w:hyperlink r:id="rId13" w:history="1">
        <w:r w:rsidRPr="00C419B9">
          <w:rPr>
            <w:rStyle w:val="Hyperlink"/>
            <w:rFonts w:ascii="Calibri" w:hAnsi="Calibri" w:cs="Calibri"/>
            <w:noProof/>
            <w:sz w:val="22"/>
            <w:szCs w:val="22"/>
          </w:rPr>
          <w:t>https://doi.org/10.1002/9781394260409.ch12</w:t>
        </w:r>
      </w:hyperlink>
      <w:r w:rsidRPr="00C419B9">
        <w:rPr>
          <w:rFonts w:ascii="Calibri" w:hAnsi="Calibri" w:cs="Calibri"/>
          <w:noProof/>
          <w:sz w:val="22"/>
          <w:szCs w:val="22"/>
        </w:rPr>
        <w:t xml:space="preserve"> </w:t>
      </w:r>
    </w:p>
    <w:p w14:paraId="46BD8590" w14:textId="3C0BF4DB"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Australian Government. (2023). </w:t>
      </w:r>
      <w:r w:rsidRPr="00C419B9">
        <w:rPr>
          <w:rFonts w:ascii="Calibri" w:hAnsi="Calibri" w:cs="Calibri"/>
          <w:i/>
          <w:noProof/>
          <w:sz w:val="22"/>
          <w:szCs w:val="22"/>
        </w:rPr>
        <w:t>STEM occupations list</w:t>
      </w:r>
      <w:r w:rsidRPr="00C419B9">
        <w:rPr>
          <w:rFonts w:ascii="Calibri" w:hAnsi="Calibri" w:cs="Calibri"/>
          <w:noProof/>
          <w:sz w:val="22"/>
          <w:szCs w:val="22"/>
        </w:rPr>
        <w:t xml:space="preserve">. Australian Government,. Retrieved 12 April, 2023 from </w:t>
      </w:r>
      <w:hyperlink r:id="rId14" w:history="1">
        <w:r w:rsidRPr="00C419B9">
          <w:rPr>
            <w:rStyle w:val="Hyperlink"/>
            <w:rFonts w:ascii="Calibri" w:hAnsi="Calibri" w:cs="Calibri"/>
            <w:noProof/>
            <w:sz w:val="22"/>
            <w:szCs w:val="22"/>
          </w:rPr>
          <w:t>https://view.officeapps.live.com/op/view.aspx?src=https%3A%2F%2Flabourmarketinsights.gov.au%2Fmedia%2Fsxadvtpi%2Fstem-occupations-list.xlsx&amp;wdOrigin=BROWSELINK</w:t>
        </w:r>
      </w:hyperlink>
    </w:p>
    <w:p w14:paraId="43D5CD9E"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Australian Qualifications Framework Advisory Body. (2007). </w:t>
      </w:r>
      <w:r w:rsidRPr="00C419B9">
        <w:rPr>
          <w:rFonts w:ascii="Calibri" w:hAnsi="Calibri" w:cs="Calibri"/>
          <w:i/>
          <w:noProof/>
          <w:sz w:val="22"/>
          <w:szCs w:val="22"/>
        </w:rPr>
        <w:t>AQF implementation handbook</w:t>
      </w:r>
      <w:r w:rsidRPr="00C419B9">
        <w:rPr>
          <w:rFonts w:ascii="Calibri" w:hAnsi="Calibri" w:cs="Calibri"/>
          <w:noProof/>
          <w:sz w:val="22"/>
          <w:szCs w:val="22"/>
        </w:rPr>
        <w:t xml:space="preserve"> (4th ed.). Australian Qualifications Framework Advisory Body. </w:t>
      </w:r>
    </w:p>
    <w:p w14:paraId="0B7D027A"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Australian Qualifications Framework Council. (2024). </w:t>
      </w:r>
      <w:r w:rsidRPr="00C419B9">
        <w:rPr>
          <w:rFonts w:ascii="Calibri" w:hAnsi="Calibri" w:cs="Calibri"/>
          <w:i/>
          <w:noProof/>
          <w:sz w:val="22"/>
          <w:szCs w:val="22"/>
        </w:rPr>
        <w:t>Australian Qualifications Framework</w:t>
      </w:r>
      <w:r w:rsidRPr="00C419B9">
        <w:rPr>
          <w:rFonts w:ascii="Calibri" w:hAnsi="Calibri" w:cs="Calibri"/>
          <w:noProof/>
          <w:sz w:val="22"/>
          <w:szCs w:val="22"/>
        </w:rPr>
        <w:t xml:space="preserve"> (2nd ed.). </w:t>
      </w:r>
    </w:p>
    <w:p w14:paraId="5D9C95C7" w14:textId="34372EAE"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Australian Skills Quality Authority. (2023). </w:t>
      </w:r>
      <w:r w:rsidRPr="00C419B9">
        <w:rPr>
          <w:rFonts w:ascii="Calibri" w:hAnsi="Calibri" w:cs="Calibri"/>
          <w:i/>
          <w:noProof/>
          <w:sz w:val="22"/>
          <w:szCs w:val="22"/>
        </w:rPr>
        <w:t>What is an RTO?</w:t>
      </w:r>
      <w:r w:rsidRPr="00C419B9">
        <w:rPr>
          <w:rFonts w:ascii="Calibri" w:hAnsi="Calibri" w:cs="Calibri"/>
          <w:noProof/>
          <w:sz w:val="22"/>
          <w:szCs w:val="22"/>
        </w:rPr>
        <w:t xml:space="preserve"> Retrieved May 2, 2023 from </w:t>
      </w:r>
      <w:hyperlink r:id="rId15" w:history="1">
        <w:r w:rsidRPr="00C419B9">
          <w:rPr>
            <w:rStyle w:val="Hyperlink"/>
            <w:rFonts w:ascii="Calibri" w:hAnsi="Calibri" w:cs="Calibri"/>
            <w:noProof/>
            <w:sz w:val="22"/>
            <w:szCs w:val="22"/>
          </w:rPr>
          <w:t>https://www.asqa.gov.au/rtos/what-is-an-rto</w:t>
        </w:r>
      </w:hyperlink>
    </w:p>
    <w:p w14:paraId="0883650D"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Australian Skills Quality Authority. (2024). Standards for Registered Training Organisations (RTOs) 2015. In Australian Government (Ed.), </w:t>
      </w:r>
      <w:r w:rsidRPr="00C419B9">
        <w:rPr>
          <w:rFonts w:ascii="Calibri" w:hAnsi="Calibri" w:cs="Calibri"/>
          <w:i/>
          <w:noProof/>
          <w:sz w:val="22"/>
          <w:szCs w:val="22"/>
        </w:rPr>
        <w:t>F2024C00276 (C05)</w:t>
      </w:r>
      <w:r w:rsidRPr="00C419B9">
        <w:rPr>
          <w:rFonts w:ascii="Calibri" w:hAnsi="Calibri" w:cs="Calibri"/>
          <w:noProof/>
          <w:sz w:val="22"/>
          <w:szCs w:val="22"/>
        </w:rPr>
        <w:t xml:space="preserve"> (pp. 48): Australian Government,.</w:t>
      </w:r>
    </w:p>
    <w:p w14:paraId="1D976639" w14:textId="3682D0E6"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Bennett, D., Knight, E., Bawa, S., &amp; Dockery, A. M. (2021). Understanding the career decision making of university students enrolled in STEM disciplines. </w:t>
      </w:r>
      <w:r w:rsidRPr="00C419B9">
        <w:rPr>
          <w:rFonts w:ascii="Calibri" w:hAnsi="Calibri" w:cs="Calibri"/>
          <w:i/>
          <w:noProof/>
          <w:sz w:val="22"/>
          <w:szCs w:val="22"/>
        </w:rPr>
        <w:t>Australian Journal of Career Development</w:t>
      </w:r>
      <w:r w:rsidRPr="00C419B9">
        <w:rPr>
          <w:rFonts w:ascii="Calibri" w:hAnsi="Calibri" w:cs="Calibri"/>
          <w:noProof/>
          <w:sz w:val="22"/>
          <w:szCs w:val="22"/>
        </w:rPr>
        <w:t>,</w:t>
      </w:r>
      <w:r w:rsidRPr="00C419B9">
        <w:rPr>
          <w:rFonts w:ascii="Calibri" w:hAnsi="Calibri" w:cs="Calibri"/>
          <w:i/>
          <w:noProof/>
          <w:sz w:val="22"/>
          <w:szCs w:val="22"/>
        </w:rPr>
        <w:t xml:space="preserve"> 30</w:t>
      </w:r>
      <w:r w:rsidRPr="00C419B9">
        <w:rPr>
          <w:rFonts w:ascii="Calibri" w:hAnsi="Calibri" w:cs="Calibri"/>
          <w:noProof/>
          <w:sz w:val="22"/>
          <w:szCs w:val="22"/>
        </w:rPr>
        <w:t xml:space="preserve">(2), 95–105. </w:t>
      </w:r>
      <w:hyperlink r:id="rId16" w:history="1">
        <w:r w:rsidRPr="00C419B9">
          <w:rPr>
            <w:rStyle w:val="Hyperlink"/>
            <w:rFonts w:ascii="Calibri" w:hAnsi="Calibri" w:cs="Calibri"/>
            <w:noProof/>
            <w:sz w:val="22"/>
            <w:szCs w:val="22"/>
          </w:rPr>
          <w:t>https://doi.org/10.1177/1038416221994312</w:t>
        </w:r>
      </w:hyperlink>
      <w:r w:rsidRPr="00C419B9">
        <w:rPr>
          <w:rFonts w:ascii="Calibri" w:hAnsi="Calibri" w:cs="Calibri"/>
          <w:noProof/>
          <w:sz w:val="22"/>
          <w:szCs w:val="22"/>
        </w:rPr>
        <w:t xml:space="preserve"> </w:t>
      </w:r>
    </w:p>
    <w:p w14:paraId="01D6D43A" w14:textId="3DF8D632"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Blotnicky, K. A., Franz-Odendaal, T., French, F., &amp; Joy, P. (2018). A study of the correlation between STEM career knowledge, mathematics self-efficacy, career interests, and career activities on the likelihood of pursuing a STEM career among middle school students. </w:t>
      </w:r>
      <w:r w:rsidRPr="00C419B9">
        <w:rPr>
          <w:rFonts w:ascii="Calibri" w:hAnsi="Calibri" w:cs="Calibri"/>
          <w:i/>
          <w:noProof/>
          <w:sz w:val="22"/>
          <w:szCs w:val="22"/>
        </w:rPr>
        <w:t>International Journal of STEM Education</w:t>
      </w:r>
      <w:r w:rsidRPr="00C419B9">
        <w:rPr>
          <w:rFonts w:ascii="Calibri" w:hAnsi="Calibri" w:cs="Calibri"/>
          <w:noProof/>
          <w:sz w:val="22"/>
          <w:szCs w:val="22"/>
        </w:rPr>
        <w:t>,</w:t>
      </w:r>
      <w:r w:rsidRPr="00C419B9">
        <w:rPr>
          <w:rFonts w:ascii="Calibri" w:hAnsi="Calibri" w:cs="Calibri"/>
          <w:i/>
          <w:noProof/>
          <w:sz w:val="22"/>
          <w:szCs w:val="22"/>
        </w:rPr>
        <w:t xml:space="preserve"> 5</w:t>
      </w:r>
      <w:r w:rsidRPr="00C419B9">
        <w:rPr>
          <w:rFonts w:ascii="Calibri" w:hAnsi="Calibri" w:cs="Calibri"/>
          <w:noProof/>
          <w:sz w:val="22"/>
          <w:szCs w:val="22"/>
        </w:rPr>
        <w:t xml:space="preserve">(1). </w:t>
      </w:r>
      <w:hyperlink r:id="rId17" w:history="1">
        <w:r w:rsidRPr="00C419B9">
          <w:rPr>
            <w:rStyle w:val="Hyperlink"/>
            <w:rFonts w:ascii="Calibri" w:hAnsi="Calibri" w:cs="Calibri"/>
            <w:noProof/>
            <w:sz w:val="22"/>
            <w:szCs w:val="22"/>
          </w:rPr>
          <w:t>https://doi.org/10.1186/s40594-018-0118-3</w:t>
        </w:r>
      </w:hyperlink>
      <w:r w:rsidRPr="00C419B9">
        <w:rPr>
          <w:rFonts w:ascii="Calibri" w:hAnsi="Calibri" w:cs="Calibri"/>
          <w:noProof/>
          <w:sz w:val="22"/>
          <w:szCs w:val="22"/>
        </w:rPr>
        <w:t xml:space="preserve"> </w:t>
      </w:r>
    </w:p>
    <w:p w14:paraId="4C6539EE" w14:textId="6BFA48D4"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Borland, J., &amp; Charlton, A. (2020). The Australian labour market and the early impact of COVID‐19: An assessment. </w:t>
      </w:r>
      <w:r w:rsidRPr="00C419B9">
        <w:rPr>
          <w:rFonts w:ascii="Calibri" w:hAnsi="Calibri" w:cs="Calibri"/>
          <w:i/>
          <w:noProof/>
          <w:sz w:val="22"/>
          <w:szCs w:val="22"/>
        </w:rPr>
        <w:t>Australian Economic Review</w:t>
      </w:r>
      <w:r w:rsidRPr="00C419B9">
        <w:rPr>
          <w:rFonts w:ascii="Calibri" w:hAnsi="Calibri" w:cs="Calibri"/>
          <w:noProof/>
          <w:sz w:val="22"/>
          <w:szCs w:val="22"/>
        </w:rPr>
        <w:t>,</w:t>
      </w:r>
      <w:r w:rsidRPr="00C419B9">
        <w:rPr>
          <w:rFonts w:ascii="Calibri" w:hAnsi="Calibri" w:cs="Calibri"/>
          <w:i/>
          <w:noProof/>
          <w:sz w:val="22"/>
          <w:szCs w:val="22"/>
        </w:rPr>
        <w:t xml:space="preserve"> 53</w:t>
      </w:r>
      <w:r w:rsidRPr="00C419B9">
        <w:rPr>
          <w:rFonts w:ascii="Calibri" w:hAnsi="Calibri" w:cs="Calibri"/>
          <w:noProof/>
          <w:sz w:val="22"/>
          <w:szCs w:val="22"/>
        </w:rPr>
        <w:t xml:space="preserve">(3), 297–324. </w:t>
      </w:r>
      <w:hyperlink r:id="rId18" w:history="1">
        <w:r w:rsidRPr="00C419B9">
          <w:rPr>
            <w:rStyle w:val="Hyperlink"/>
            <w:rFonts w:ascii="Calibri" w:hAnsi="Calibri" w:cs="Calibri"/>
            <w:noProof/>
            <w:sz w:val="22"/>
            <w:szCs w:val="22"/>
          </w:rPr>
          <w:t>https://doi.org/10.1111/1467-8462.12386</w:t>
        </w:r>
      </w:hyperlink>
      <w:r w:rsidRPr="00C419B9">
        <w:rPr>
          <w:rFonts w:ascii="Calibri" w:hAnsi="Calibri" w:cs="Calibri"/>
          <w:noProof/>
          <w:sz w:val="22"/>
          <w:szCs w:val="22"/>
        </w:rPr>
        <w:t xml:space="preserve"> </w:t>
      </w:r>
    </w:p>
    <w:p w14:paraId="446F4639" w14:textId="10B43E79"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Braun, V., &amp; Clarke, V. (2019). Reflecting on reflexive thematic analysis. </w:t>
      </w:r>
      <w:r w:rsidRPr="00C419B9">
        <w:rPr>
          <w:rFonts w:ascii="Calibri" w:hAnsi="Calibri" w:cs="Calibri"/>
          <w:i/>
          <w:noProof/>
          <w:sz w:val="22"/>
          <w:szCs w:val="22"/>
        </w:rPr>
        <w:t>Qualitative Research in Sport, Exercise and Health</w:t>
      </w:r>
      <w:r w:rsidRPr="00C419B9">
        <w:rPr>
          <w:rFonts w:ascii="Calibri" w:hAnsi="Calibri" w:cs="Calibri"/>
          <w:noProof/>
          <w:sz w:val="22"/>
          <w:szCs w:val="22"/>
        </w:rPr>
        <w:t>,</w:t>
      </w:r>
      <w:r w:rsidRPr="00C419B9">
        <w:rPr>
          <w:rFonts w:ascii="Calibri" w:hAnsi="Calibri" w:cs="Calibri"/>
          <w:i/>
          <w:noProof/>
          <w:sz w:val="22"/>
          <w:szCs w:val="22"/>
        </w:rPr>
        <w:t xml:space="preserve"> 11</w:t>
      </w:r>
      <w:r w:rsidRPr="00C419B9">
        <w:rPr>
          <w:rFonts w:ascii="Calibri" w:hAnsi="Calibri" w:cs="Calibri"/>
          <w:noProof/>
          <w:sz w:val="22"/>
          <w:szCs w:val="22"/>
        </w:rPr>
        <w:t xml:space="preserve">(4), 589–597. </w:t>
      </w:r>
      <w:hyperlink r:id="rId19" w:history="1">
        <w:r w:rsidRPr="00C419B9">
          <w:rPr>
            <w:rStyle w:val="Hyperlink"/>
            <w:rFonts w:ascii="Calibri" w:hAnsi="Calibri" w:cs="Calibri"/>
            <w:noProof/>
            <w:sz w:val="22"/>
            <w:szCs w:val="22"/>
          </w:rPr>
          <w:t>https://doi.org/10.1080/2159676x.2019.1628806</w:t>
        </w:r>
      </w:hyperlink>
      <w:r w:rsidRPr="00C419B9">
        <w:rPr>
          <w:rFonts w:ascii="Calibri" w:hAnsi="Calibri" w:cs="Calibri"/>
          <w:noProof/>
          <w:sz w:val="22"/>
          <w:szCs w:val="22"/>
        </w:rPr>
        <w:t xml:space="preserve"> </w:t>
      </w:r>
    </w:p>
    <w:p w14:paraId="337B5E24" w14:textId="27AA532E"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Braun, V., Clarke, V., Hayfield, N., &amp; Terry, G. (2019). Thematic analysis. In P. Liamputtong (Ed.), </w:t>
      </w:r>
      <w:r w:rsidRPr="00C419B9">
        <w:rPr>
          <w:rFonts w:ascii="Calibri" w:hAnsi="Calibri" w:cs="Calibri"/>
          <w:i/>
          <w:noProof/>
          <w:sz w:val="22"/>
          <w:szCs w:val="22"/>
        </w:rPr>
        <w:t>Handbook of research methods in health social sciences</w:t>
      </w:r>
      <w:r w:rsidRPr="00C419B9">
        <w:rPr>
          <w:rFonts w:ascii="Calibri" w:hAnsi="Calibri" w:cs="Calibri"/>
          <w:noProof/>
          <w:sz w:val="22"/>
          <w:szCs w:val="22"/>
        </w:rPr>
        <w:t xml:space="preserve"> (pp. 843–860). Springer Singapore. </w:t>
      </w:r>
      <w:hyperlink r:id="rId20" w:history="1">
        <w:r w:rsidRPr="00C419B9">
          <w:rPr>
            <w:rStyle w:val="Hyperlink"/>
            <w:rFonts w:ascii="Calibri" w:hAnsi="Calibri" w:cs="Calibri"/>
            <w:noProof/>
            <w:sz w:val="22"/>
            <w:szCs w:val="22"/>
          </w:rPr>
          <w:t>https://doi.org/10.1007/978-981-10-5251-4_103</w:t>
        </w:r>
      </w:hyperlink>
      <w:r w:rsidRPr="00C419B9">
        <w:rPr>
          <w:rFonts w:ascii="Calibri" w:hAnsi="Calibri" w:cs="Calibri"/>
          <w:noProof/>
          <w:sz w:val="22"/>
          <w:szCs w:val="22"/>
        </w:rPr>
        <w:t xml:space="preserve"> </w:t>
      </w:r>
    </w:p>
    <w:p w14:paraId="2A3444EE" w14:textId="5E6CC12A"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Brott, P. E. (2015). Qualitative career assessment processes. In M. McMahon &amp; M. Watson (Eds.), </w:t>
      </w:r>
      <w:r w:rsidRPr="00C419B9">
        <w:rPr>
          <w:rFonts w:ascii="Calibri" w:hAnsi="Calibri" w:cs="Calibri"/>
          <w:i/>
          <w:noProof/>
          <w:sz w:val="22"/>
          <w:szCs w:val="22"/>
        </w:rPr>
        <w:lastRenderedPageBreak/>
        <w:t>Career assessment: Qualitative approaches</w:t>
      </w:r>
      <w:r w:rsidRPr="00C419B9">
        <w:rPr>
          <w:rFonts w:ascii="Calibri" w:hAnsi="Calibri" w:cs="Calibri"/>
          <w:noProof/>
          <w:sz w:val="22"/>
          <w:szCs w:val="22"/>
        </w:rPr>
        <w:t xml:space="preserve"> (Vol. 7, pp. 31–39). Sense. </w:t>
      </w:r>
      <w:hyperlink r:id="rId21" w:history="1">
        <w:r w:rsidRPr="00C419B9">
          <w:rPr>
            <w:rStyle w:val="Hyperlink"/>
            <w:rFonts w:ascii="Calibri" w:hAnsi="Calibri" w:cs="Calibri"/>
            <w:noProof/>
            <w:sz w:val="22"/>
            <w:szCs w:val="22"/>
          </w:rPr>
          <w:t>https://doi.org/10.1007/978-94-6300-034-5_4</w:t>
        </w:r>
      </w:hyperlink>
      <w:r w:rsidRPr="00C419B9">
        <w:rPr>
          <w:rFonts w:ascii="Calibri" w:hAnsi="Calibri" w:cs="Calibri"/>
          <w:noProof/>
          <w:sz w:val="22"/>
          <w:szCs w:val="22"/>
        </w:rPr>
        <w:t xml:space="preserve"> </w:t>
      </w:r>
    </w:p>
    <w:p w14:paraId="21185B7B"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CCC. (2021, September 22,). </w:t>
      </w:r>
      <w:r w:rsidRPr="00C419B9">
        <w:rPr>
          <w:rFonts w:ascii="Calibri" w:hAnsi="Calibri" w:cs="Calibri"/>
          <w:i/>
          <w:noProof/>
          <w:sz w:val="22"/>
          <w:szCs w:val="22"/>
        </w:rPr>
        <w:t>Interview transcript</w:t>
      </w:r>
      <w:r w:rsidRPr="00C419B9">
        <w:rPr>
          <w:rFonts w:ascii="Calibri" w:hAnsi="Calibri" w:cs="Calibri"/>
          <w:noProof/>
          <w:sz w:val="22"/>
          <w:szCs w:val="22"/>
        </w:rPr>
        <w:t xml:space="preserve"> [Interview]. Cloudstor+; </w:t>
      </w:r>
    </w:p>
    <w:p w14:paraId="731B22E8" w14:textId="4BD4FEDF"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Choy, S., Dymock, D., Le, L., &amp; Billett, S. (2021). Understanding student decision-making about VET as a pathway: an Australian study. </w:t>
      </w:r>
      <w:r w:rsidRPr="00C419B9">
        <w:rPr>
          <w:rFonts w:ascii="Calibri" w:hAnsi="Calibri" w:cs="Calibri"/>
          <w:i/>
          <w:noProof/>
          <w:sz w:val="22"/>
          <w:szCs w:val="22"/>
        </w:rPr>
        <w:t>International Journal of Training Research</w:t>
      </w:r>
      <w:r w:rsidRPr="00C419B9">
        <w:rPr>
          <w:rFonts w:ascii="Calibri" w:hAnsi="Calibri" w:cs="Calibri"/>
          <w:noProof/>
          <w:sz w:val="22"/>
          <w:szCs w:val="22"/>
        </w:rPr>
        <w:t>,</w:t>
      </w:r>
      <w:r w:rsidRPr="00C419B9">
        <w:rPr>
          <w:rFonts w:ascii="Calibri" w:hAnsi="Calibri" w:cs="Calibri"/>
          <w:i/>
          <w:noProof/>
          <w:sz w:val="22"/>
          <w:szCs w:val="22"/>
        </w:rPr>
        <w:t xml:space="preserve"> 19</w:t>
      </w:r>
      <w:r w:rsidRPr="00C419B9">
        <w:rPr>
          <w:rFonts w:ascii="Calibri" w:hAnsi="Calibri" w:cs="Calibri"/>
          <w:noProof/>
          <w:sz w:val="22"/>
          <w:szCs w:val="22"/>
        </w:rPr>
        <w:t xml:space="preserve">(2), 125–141. </w:t>
      </w:r>
      <w:hyperlink r:id="rId22" w:history="1">
        <w:r w:rsidRPr="00C419B9">
          <w:rPr>
            <w:rStyle w:val="Hyperlink"/>
            <w:rFonts w:ascii="Calibri" w:hAnsi="Calibri" w:cs="Calibri"/>
            <w:noProof/>
            <w:sz w:val="22"/>
            <w:szCs w:val="22"/>
          </w:rPr>
          <w:t>https://doi.org/10.1080/14480220.2021.1905684</w:t>
        </w:r>
      </w:hyperlink>
      <w:r w:rsidRPr="00C419B9">
        <w:rPr>
          <w:rFonts w:ascii="Calibri" w:hAnsi="Calibri" w:cs="Calibri"/>
          <w:noProof/>
          <w:sz w:val="22"/>
          <w:szCs w:val="22"/>
        </w:rPr>
        <w:t xml:space="preserve"> </w:t>
      </w:r>
    </w:p>
    <w:p w14:paraId="67D0E761" w14:textId="052F6437" w:rsidR="00335241"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Commonwealth of Australia. (2023). </w:t>
      </w:r>
      <w:r w:rsidRPr="00C419B9">
        <w:rPr>
          <w:rFonts w:ascii="Calibri" w:hAnsi="Calibri" w:cs="Calibri"/>
          <w:i/>
          <w:noProof/>
          <w:sz w:val="22"/>
          <w:szCs w:val="22"/>
        </w:rPr>
        <w:t>Working future: The Australian government’s white paper on jobs and opportunities</w:t>
      </w:r>
      <w:r w:rsidRPr="00C419B9">
        <w:rPr>
          <w:rFonts w:ascii="Calibri" w:hAnsi="Calibri" w:cs="Calibri"/>
          <w:noProof/>
          <w:sz w:val="22"/>
          <w:szCs w:val="22"/>
        </w:rPr>
        <w:t>. Australian Government Canberra.</w:t>
      </w:r>
      <w:r w:rsidR="00C419B9" w:rsidRPr="00C419B9">
        <w:rPr>
          <w:rFonts w:ascii="Calibri" w:hAnsi="Calibri" w:cs="Calibri"/>
          <w:noProof/>
          <w:sz w:val="22"/>
          <w:szCs w:val="22"/>
        </w:rPr>
        <w:t xml:space="preserve"> </w:t>
      </w:r>
      <w:r w:rsidR="00335241" w:rsidRPr="00C419B9">
        <w:rPr>
          <w:rFonts w:ascii="Calibri" w:hAnsi="Calibri" w:cs="Calibri"/>
          <w:noProof/>
          <w:sz w:val="22"/>
          <w:szCs w:val="22"/>
        </w:rPr>
        <w:t>https://treasury.gov.au/employment-whitepaper/final-report</w:t>
      </w:r>
    </w:p>
    <w:p w14:paraId="71291975" w14:textId="0BEE6AC2"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Department of Education. (2025). </w:t>
      </w:r>
      <w:r w:rsidRPr="00C419B9">
        <w:rPr>
          <w:rFonts w:ascii="Calibri" w:hAnsi="Calibri" w:cs="Calibri"/>
          <w:i/>
          <w:noProof/>
          <w:sz w:val="22"/>
          <w:szCs w:val="22"/>
        </w:rPr>
        <w:t>Vocational Degree – a new degree-level qualification type for VET</w:t>
      </w:r>
      <w:r w:rsidRPr="00C419B9">
        <w:rPr>
          <w:rFonts w:ascii="Calibri" w:hAnsi="Calibri" w:cs="Calibri"/>
          <w:noProof/>
          <w:sz w:val="22"/>
          <w:szCs w:val="22"/>
        </w:rPr>
        <w:t xml:space="preserve">. Retrieved April 15 from </w:t>
      </w:r>
      <w:hyperlink r:id="rId23" w:history="1">
        <w:r w:rsidRPr="00C419B9">
          <w:rPr>
            <w:rStyle w:val="Hyperlink"/>
            <w:rFonts w:ascii="Calibri" w:hAnsi="Calibri" w:cs="Calibri"/>
            <w:noProof/>
            <w:sz w:val="22"/>
            <w:szCs w:val="22"/>
          </w:rPr>
          <w:t>https://www.education.gov.au/higher-education/announcements/vocational-degree-new-degreelevel-qualification-type-vet</w:t>
        </w:r>
      </w:hyperlink>
    </w:p>
    <w:p w14:paraId="4DCF3009" w14:textId="62B2ED06"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Fogelgarn, R., Weller, J., &amp; O’Reilly-Briggs, K. (2024). Permission to teach VET: Enabling a vicious circle that maintains the low status of VET education. </w:t>
      </w:r>
      <w:r w:rsidRPr="00C419B9">
        <w:rPr>
          <w:rFonts w:ascii="Calibri" w:hAnsi="Calibri" w:cs="Calibri"/>
          <w:i/>
          <w:noProof/>
          <w:sz w:val="22"/>
          <w:szCs w:val="22"/>
        </w:rPr>
        <w:t>Issues in Educational Research</w:t>
      </w:r>
      <w:r w:rsidRPr="00C419B9">
        <w:rPr>
          <w:rFonts w:ascii="Calibri" w:hAnsi="Calibri" w:cs="Calibri"/>
          <w:noProof/>
          <w:sz w:val="22"/>
          <w:szCs w:val="22"/>
        </w:rPr>
        <w:t>,</w:t>
      </w:r>
      <w:r w:rsidRPr="00C419B9">
        <w:rPr>
          <w:rFonts w:ascii="Calibri" w:hAnsi="Calibri" w:cs="Calibri"/>
          <w:i/>
          <w:noProof/>
          <w:sz w:val="22"/>
          <w:szCs w:val="22"/>
        </w:rPr>
        <w:t xml:space="preserve"> 34</w:t>
      </w:r>
      <w:r w:rsidRPr="00C419B9">
        <w:rPr>
          <w:rFonts w:ascii="Calibri" w:hAnsi="Calibri" w:cs="Calibri"/>
          <w:noProof/>
          <w:sz w:val="22"/>
          <w:szCs w:val="22"/>
        </w:rPr>
        <w:t xml:space="preserve">(1), 37–57. </w:t>
      </w:r>
      <w:hyperlink r:id="rId24" w:history="1">
        <w:r w:rsidRPr="00C419B9">
          <w:rPr>
            <w:rStyle w:val="Hyperlink"/>
            <w:rFonts w:ascii="Calibri" w:hAnsi="Calibri" w:cs="Calibri"/>
            <w:noProof/>
            <w:sz w:val="22"/>
            <w:szCs w:val="22"/>
          </w:rPr>
          <w:t>https://doi.org/10.3316/informit.T2024050900000400569472539</w:t>
        </w:r>
      </w:hyperlink>
      <w:r w:rsidRPr="00C419B9">
        <w:rPr>
          <w:rFonts w:ascii="Calibri" w:hAnsi="Calibri" w:cs="Calibri"/>
          <w:noProof/>
          <w:sz w:val="22"/>
          <w:szCs w:val="22"/>
        </w:rPr>
        <w:t xml:space="preserve"> </w:t>
      </w:r>
    </w:p>
    <w:p w14:paraId="3537A129" w14:textId="307B9252"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Franz-Odendaal, T. A., Blotnicky, K. A., &amp; Joy, P. (2020). Math self-efficacy and the likelihood of pursuing a STEM-based career: A gender-based analysis. </w:t>
      </w:r>
      <w:r w:rsidRPr="00C419B9">
        <w:rPr>
          <w:rFonts w:ascii="Calibri" w:hAnsi="Calibri" w:cs="Calibri"/>
          <w:i/>
          <w:noProof/>
          <w:sz w:val="22"/>
          <w:szCs w:val="22"/>
        </w:rPr>
        <w:t>Canadian Journal of Science, Mathematics and Technology Education</w:t>
      </w:r>
      <w:r w:rsidRPr="00C419B9">
        <w:rPr>
          <w:rFonts w:ascii="Calibri" w:hAnsi="Calibri" w:cs="Calibri"/>
          <w:noProof/>
          <w:sz w:val="22"/>
          <w:szCs w:val="22"/>
        </w:rPr>
        <w:t xml:space="preserve">. </w:t>
      </w:r>
      <w:hyperlink r:id="rId25" w:history="1">
        <w:r w:rsidRPr="00C419B9">
          <w:rPr>
            <w:rStyle w:val="Hyperlink"/>
            <w:rFonts w:ascii="Calibri" w:hAnsi="Calibri" w:cs="Calibri"/>
            <w:noProof/>
            <w:sz w:val="22"/>
            <w:szCs w:val="22"/>
          </w:rPr>
          <w:t>https://doi.org/10.1007/s42330-020-00105-7</w:t>
        </w:r>
      </w:hyperlink>
      <w:r w:rsidRPr="00C419B9">
        <w:rPr>
          <w:rFonts w:ascii="Calibri" w:hAnsi="Calibri" w:cs="Calibri"/>
          <w:noProof/>
          <w:sz w:val="22"/>
          <w:szCs w:val="22"/>
        </w:rPr>
        <w:t xml:space="preserve"> </w:t>
      </w:r>
    </w:p>
    <w:p w14:paraId="6FF3AF44" w14:textId="2F7B71DE"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Gong, Z., Gilal, F. G., Gilal, N. G., Van Swol, L. M., &amp; Gilal, R. G. (2022). A person-centered perspective in assessing career adaptability: Potential profiles, outcomes, and antecedents. </w:t>
      </w:r>
      <w:r w:rsidRPr="00C419B9">
        <w:rPr>
          <w:rFonts w:ascii="Calibri" w:hAnsi="Calibri" w:cs="Calibri"/>
          <w:i/>
          <w:noProof/>
          <w:sz w:val="22"/>
          <w:szCs w:val="22"/>
        </w:rPr>
        <w:t>European Management Journal</w:t>
      </w:r>
      <w:r w:rsidRPr="00C419B9">
        <w:rPr>
          <w:rFonts w:ascii="Calibri" w:hAnsi="Calibri" w:cs="Calibri"/>
          <w:noProof/>
          <w:sz w:val="22"/>
          <w:szCs w:val="22"/>
        </w:rPr>
        <w:t>,</w:t>
      </w:r>
      <w:r w:rsidRPr="00C419B9">
        <w:rPr>
          <w:rFonts w:ascii="Calibri" w:hAnsi="Calibri" w:cs="Calibri"/>
          <w:i/>
          <w:noProof/>
          <w:sz w:val="22"/>
          <w:szCs w:val="22"/>
        </w:rPr>
        <w:t xml:space="preserve"> 41</w:t>
      </w:r>
      <w:r w:rsidRPr="00C419B9">
        <w:rPr>
          <w:rFonts w:ascii="Calibri" w:hAnsi="Calibri" w:cs="Calibri"/>
          <w:noProof/>
          <w:sz w:val="22"/>
          <w:szCs w:val="22"/>
        </w:rPr>
        <w:t xml:space="preserve">, 415–424. </w:t>
      </w:r>
      <w:hyperlink r:id="rId26" w:history="1">
        <w:r w:rsidRPr="00C419B9">
          <w:rPr>
            <w:rStyle w:val="Hyperlink"/>
            <w:rFonts w:ascii="Calibri" w:hAnsi="Calibri" w:cs="Calibri"/>
            <w:noProof/>
            <w:sz w:val="22"/>
            <w:szCs w:val="22"/>
          </w:rPr>
          <w:t>https://doi.org/10.1016/j.emj.2022.03.009</w:t>
        </w:r>
      </w:hyperlink>
      <w:r w:rsidRPr="00C419B9">
        <w:rPr>
          <w:rFonts w:ascii="Calibri" w:hAnsi="Calibri" w:cs="Calibri"/>
          <w:noProof/>
          <w:sz w:val="22"/>
          <w:szCs w:val="22"/>
        </w:rPr>
        <w:t xml:space="preserve"> </w:t>
      </w:r>
    </w:p>
    <w:p w14:paraId="416C023D"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HAR. (2021, December 16,). </w:t>
      </w:r>
      <w:r w:rsidRPr="00C419B9">
        <w:rPr>
          <w:rFonts w:ascii="Calibri" w:hAnsi="Calibri" w:cs="Calibri"/>
          <w:i/>
          <w:noProof/>
          <w:sz w:val="22"/>
          <w:szCs w:val="22"/>
        </w:rPr>
        <w:t>Interview transcript</w:t>
      </w:r>
      <w:r w:rsidRPr="00C419B9">
        <w:rPr>
          <w:rFonts w:ascii="Calibri" w:hAnsi="Calibri" w:cs="Calibri"/>
          <w:noProof/>
          <w:sz w:val="22"/>
          <w:szCs w:val="22"/>
        </w:rPr>
        <w:t xml:space="preserve"> [Interview]. Cloudstor+; </w:t>
      </w:r>
    </w:p>
    <w:p w14:paraId="219658AF" w14:textId="0A79C149"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Harris, R. (2015). Quality in the Australian VET sector: What has been happening? </w:t>
      </w:r>
      <w:r w:rsidRPr="00C419B9">
        <w:rPr>
          <w:rFonts w:ascii="Calibri" w:hAnsi="Calibri" w:cs="Calibri"/>
          <w:i/>
          <w:noProof/>
          <w:sz w:val="22"/>
          <w:szCs w:val="22"/>
        </w:rPr>
        <w:t>International Journal of Training Research</w:t>
      </w:r>
      <w:r w:rsidRPr="00C419B9">
        <w:rPr>
          <w:rFonts w:ascii="Calibri" w:hAnsi="Calibri" w:cs="Calibri"/>
          <w:noProof/>
          <w:sz w:val="22"/>
          <w:szCs w:val="22"/>
        </w:rPr>
        <w:t>,</w:t>
      </w:r>
      <w:r w:rsidRPr="00C419B9">
        <w:rPr>
          <w:rFonts w:ascii="Calibri" w:hAnsi="Calibri" w:cs="Calibri"/>
          <w:i/>
          <w:noProof/>
          <w:sz w:val="22"/>
          <w:szCs w:val="22"/>
        </w:rPr>
        <w:t xml:space="preserve"> 13</w:t>
      </w:r>
      <w:r w:rsidRPr="00C419B9">
        <w:rPr>
          <w:rFonts w:ascii="Calibri" w:hAnsi="Calibri" w:cs="Calibri"/>
          <w:noProof/>
          <w:sz w:val="22"/>
          <w:szCs w:val="22"/>
        </w:rPr>
        <w:t xml:space="preserve">(1), 16–34. </w:t>
      </w:r>
      <w:hyperlink r:id="rId27" w:history="1">
        <w:r w:rsidRPr="00C419B9">
          <w:rPr>
            <w:rStyle w:val="Hyperlink"/>
            <w:rFonts w:ascii="Calibri" w:hAnsi="Calibri" w:cs="Calibri"/>
            <w:noProof/>
            <w:sz w:val="22"/>
            <w:szCs w:val="22"/>
          </w:rPr>
          <w:t>https://doi.org/10.1080/14480220.2015.1051348</w:t>
        </w:r>
      </w:hyperlink>
      <w:r w:rsidRPr="00C419B9">
        <w:rPr>
          <w:rFonts w:ascii="Calibri" w:hAnsi="Calibri" w:cs="Calibri"/>
          <w:noProof/>
          <w:sz w:val="22"/>
          <w:szCs w:val="22"/>
        </w:rPr>
        <w:t xml:space="preserve"> </w:t>
      </w:r>
    </w:p>
    <w:p w14:paraId="4915AAD9" w14:textId="7F9C9FF5"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Hirschi, A. (2018). The fourth industrial revolution: Issues and implications for career research and practice. </w:t>
      </w:r>
      <w:r w:rsidRPr="00C419B9">
        <w:rPr>
          <w:rFonts w:ascii="Calibri" w:hAnsi="Calibri" w:cs="Calibri"/>
          <w:i/>
          <w:noProof/>
          <w:sz w:val="22"/>
          <w:szCs w:val="22"/>
        </w:rPr>
        <w:t>The Career Development Quarterly</w:t>
      </w:r>
      <w:r w:rsidRPr="00C419B9">
        <w:rPr>
          <w:rFonts w:ascii="Calibri" w:hAnsi="Calibri" w:cs="Calibri"/>
          <w:noProof/>
          <w:sz w:val="22"/>
          <w:szCs w:val="22"/>
        </w:rPr>
        <w:t>,</w:t>
      </w:r>
      <w:r w:rsidRPr="00C419B9">
        <w:rPr>
          <w:rFonts w:ascii="Calibri" w:hAnsi="Calibri" w:cs="Calibri"/>
          <w:i/>
          <w:noProof/>
          <w:sz w:val="22"/>
          <w:szCs w:val="22"/>
        </w:rPr>
        <w:t xml:space="preserve"> 66</w:t>
      </w:r>
      <w:r w:rsidRPr="00C419B9">
        <w:rPr>
          <w:rFonts w:ascii="Calibri" w:hAnsi="Calibri" w:cs="Calibri"/>
          <w:noProof/>
          <w:sz w:val="22"/>
          <w:szCs w:val="22"/>
        </w:rPr>
        <w:t xml:space="preserve">(3), 192–204. </w:t>
      </w:r>
      <w:hyperlink r:id="rId28" w:history="1">
        <w:r w:rsidRPr="00C419B9">
          <w:rPr>
            <w:rStyle w:val="Hyperlink"/>
            <w:rFonts w:ascii="Calibri" w:hAnsi="Calibri" w:cs="Calibri"/>
            <w:noProof/>
            <w:sz w:val="22"/>
            <w:szCs w:val="22"/>
          </w:rPr>
          <w:t>https://doi.org/10.1002/cdq.12142</w:t>
        </w:r>
      </w:hyperlink>
      <w:r w:rsidRPr="00C419B9">
        <w:rPr>
          <w:rFonts w:ascii="Calibri" w:hAnsi="Calibri" w:cs="Calibri"/>
          <w:noProof/>
          <w:sz w:val="22"/>
          <w:szCs w:val="22"/>
        </w:rPr>
        <w:t xml:space="preserve"> </w:t>
      </w:r>
    </w:p>
    <w:p w14:paraId="2A2051B6" w14:textId="347F9F23"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Johnston, C. S. (2018). A systematic review of the career adaptability literature and future outlook. </w:t>
      </w:r>
      <w:r w:rsidRPr="00C419B9">
        <w:rPr>
          <w:rFonts w:ascii="Calibri" w:hAnsi="Calibri" w:cs="Calibri"/>
          <w:i/>
          <w:noProof/>
          <w:sz w:val="22"/>
          <w:szCs w:val="22"/>
        </w:rPr>
        <w:t>Journal of Career Assessment</w:t>
      </w:r>
      <w:r w:rsidRPr="00C419B9">
        <w:rPr>
          <w:rFonts w:ascii="Calibri" w:hAnsi="Calibri" w:cs="Calibri"/>
          <w:noProof/>
          <w:sz w:val="22"/>
          <w:szCs w:val="22"/>
        </w:rPr>
        <w:t>,</w:t>
      </w:r>
      <w:r w:rsidRPr="00C419B9">
        <w:rPr>
          <w:rFonts w:ascii="Calibri" w:hAnsi="Calibri" w:cs="Calibri"/>
          <w:i/>
          <w:noProof/>
          <w:sz w:val="22"/>
          <w:szCs w:val="22"/>
        </w:rPr>
        <w:t xml:space="preserve"> 26</w:t>
      </w:r>
      <w:r w:rsidRPr="00C419B9">
        <w:rPr>
          <w:rFonts w:ascii="Calibri" w:hAnsi="Calibri" w:cs="Calibri"/>
          <w:noProof/>
          <w:sz w:val="22"/>
          <w:szCs w:val="22"/>
        </w:rPr>
        <w:t xml:space="preserve">(1), 3–30. </w:t>
      </w:r>
      <w:hyperlink r:id="rId29" w:history="1">
        <w:r w:rsidRPr="00C419B9">
          <w:rPr>
            <w:rStyle w:val="Hyperlink"/>
            <w:rFonts w:ascii="Calibri" w:hAnsi="Calibri" w:cs="Calibri"/>
            <w:noProof/>
            <w:sz w:val="22"/>
            <w:szCs w:val="22"/>
          </w:rPr>
          <w:t>https://doi.org/10.1177/1069072716679921</w:t>
        </w:r>
      </w:hyperlink>
      <w:r w:rsidRPr="00C419B9">
        <w:rPr>
          <w:rFonts w:ascii="Calibri" w:hAnsi="Calibri" w:cs="Calibri"/>
          <w:noProof/>
          <w:sz w:val="22"/>
          <w:szCs w:val="22"/>
        </w:rPr>
        <w:t xml:space="preserve"> </w:t>
      </w:r>
    </w:p>
    <w:p w14:paraId="3BBB362C" w14:textId="329C12C3"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Keele, S. M., Swann, R., &amp; Davie-Smythe, A. (2020). Identifying best practice in career education and development in Australian secondary schools. </w:t>
      </w:r>
      <w:r w:rsidRPr="00C419B9">
        <w:rPr>
          <w:rFonts w:ascii="Calibri" w:hAnsi="Calibri" w:cs="Calibri"/>
          <w:i/>
          <w:noProof/>
          <w:sz w:val="22"/>
          <w:szCs w:val="22"/>
        </w:rPr>
        <w:t>Australian Journal of Career Development</w:t>
      </w:r>
      <w:r w:rsidRPr="00C419B9">
        <w:rPr>
          <w:rFonts w:ascii="Calibri" w:hAnsi="Calibri" w:cs="Calibri"/>
          <w:noProof/>
          <w:sz w:val="22"/>
          <w:szCs w:val="22"/>
        </w:rPr>
        <w:t>,</w:t>
      </w:r>
      <w:r w:rsidRPr="00C419B9">
        <w:rPr>
          <w:rFonts w:ascii="Calibri" w:hAnsi="Calibri" w:cs="Calibri"/>
          <w:i/>
          <w:noProof/>
          <w:sz w:val="22"/>
          <w:szCs w:val="22"/>
        </w:rPr>
        <w:t xml:space="preserve"> 29</w:t>
      </w:r>
      <w:r w:rsidRPr="00C419B9">
        <w:rPr>
          <w:rFonts w:ascii="Calibri" w:hAnsi="Calibri" w:cs="Calibri"/>
          <w:noProof/>
          <w:sz w:val="22"/>
          <w:szCs w:val="22"/>
        </w:rPr>
        <w:t xml:space="preserve">(1), 54–66. </w:t>
      </w:r>
      <w:hyperlink r:id="rId30" w:history="1">
        <w:r w:rsidRPr="00C419B9">
          <w:rPr>
            <w:rStyle w:val="Hyperlink"/>
            <w:rFonts w:ascii="Calibri" w:hAnsi="Calibri" w:cs="Calibri"/>
            <w:noProof/>
            <w:sz w:val="22"/>
            <w:szCs w:val="22"/>
          </w:rPr>
          <w:t>https://doi.org/10.1177/1038416219886116</w:t>
        </w:r>
      </w:hyperlink>
      <w:r w:rsidRPr="00C419B9">
        <w:rPr>
          <w:rFonts w:ascii="Calibri" w:hAnsi="Calibri" w:cs="Calibri"/>
          <w:noProof/>
          <w:sz w:val="22"/>
          <w:szCs w:val="22"/>
        </w:rPr>
        <w:t xml:space="preserve"> </w:t>
      </w:r>
    </w:p>
    <w:p w14:paraId="2C15F731"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Korbel, P. (2016). </w:t>
      </w:r>
      <w:r w:rsidRPr="00C419B9">
        <w:rPr>
          <w:rFonts w:ascii="Calibri" w:hAnsi="Calibri" w:cs="Calibri"/>
          <w:i/>
          <w:noProof/>
          <w:sz w:val="22"/>
          <w:szCs w:val="22"/>
        </w:rPr>
        <w:t>Measuring STEM in vocational education and training</w:t>
      </w:r>
      <w:r w:rsidRPr="00C419B9">
        <w:rPr>
          <w:rFonts w:ascii="Calibri" w:hAnsi="Calibri" w:cs="Calibri"/>
          <w:noProof/>
          <w:sz w:val="22"/>
          <w:szCs w:val="22"/>
        </w:rPr>
        <w:t xml:space="preserve">. National Centre for </w:t>
      </w:r>
      <w:r w:rsidRPr="00C419B9">
        <w:rPr>
          <w:rFonts w:ascii="Calibri" w:hAnsi="Calibri" w:cs="Calibri"/>
          <w:noProof/>
          <w:sz w:val="22"/>
          <w:szCs w:val="22"/>
        </w:rPr>
        <w:lastRenderedPageBreak/>
        <w:t xml:space="preserve">Vocational Education Research. </w:t>
      </w:r>
    </w:p>
    <w:p w14:paraId="0B0E0746" w14:textId="25D02A68"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Le, H. C., Nguyen, V. H., &amp; Nguyen, T. L. (2023). Integrated STEM approaches and associated outcomes of K-12 student learning: A systematic review. </w:t>
      </w:r>
      <w:r w:rsidRPr="00C419B9">
        <w:rPr>
          <w:rFonts w:ascii="Calibri" w:hAnsi="Calibri" w:cs="Calibri"/>
          <w:i/>
          <w:noProof/>
          <w:sz w:val="22"/>
          <w:szCs w:val="22"/>
        </w:rPr>
        <w:t>Education Sciences</w:t>
      </w:r>
      <w:r w:rsidRPr="00C419B9">
        <w:rPr>
          <w:rFonts w:ascii="Calibri" w:hAnsi="Calibri" w:cs="Calibri"/>
          <w:noProof/>
          <w:sz w:val="22"/>
          <w:szCs w:val="22"/>
        </w:rPr>
        <w:t>,</w:t>
      </w:r>
      <w:r w:rsidRPr="00C419B9">
        <w:rPr>
          <w:rFonts w:ascii="Calibri" w:hAnsi="Calibri" w:cs="Calibri"/>
          <w:i/>
          <w:noProof/>
          <w:sz w:val="22"/>
          <w:szCs w:val="22"/>
        </w:rPr>
        <w:t xml:space="preserve"> 13</w:t>
      </w:r>
      <w:r w:rsidRPr="00C419B9">
        <w:rPr>
          <w:rFonts w:ascii="Calibri" w:hAnsi="Calibri" w:cs="Calibri"/>
          <w:noProof/>
          <w:sz w:val="22"/>
          <w:szCs w:val="22"/>
        </w:rPr>
        <w:t xml:space="preserve">(3), 297. </w:t>
      </w:r>
      <w:hyperlink r:id="rId31" w:history="1">
        <w:r w:rsidRPr="00C419B9">
          <w:rPr>
            <w:rStyle w:val="Hyperlink"/>
            <w:rFonts w:ascii="Calibri" w:hAnsi="Calibri" w:cs="Calibri"/>
            <w:noProof/>
            <w:sz w:val="22"/>
            <w:szCs w:val="22"/>
          </w:rPr>
          <w:t>https://doi.org/10.3390/educsci13030297</w:t>
        </w:r>
      </w:hyperlink>
      <w:r w:rsidRPr="00C419B9">
        <w:rPr>
          <w:rFonts w:ascii="Calibri" w:hAnsi="Calibri" w:cs="Calibri"/>
          <w:noProof/>
          <w:sz w:val="22"/>
          <w:szCs w:val="22"/>
        </w:rPr>
        <w:t xml:space="preserve"> </w:t>
      </w:r>
    </w:p>
    <w:p w14:paraId="795EA256"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Lexis, L., Thomas, J., Taylor, C. J., Church, J. E., &amp; Julien, B. (2021). Informational interviews help undergraduate students at the mid-point of non-vocational STEM degrees confirm their career aspirations. </w:t>
      </w:r>
      <w:r w:rsidRPr="00C419B9">
        <w:rPr>
          <w:rFonts w:ascii="Calibri" w:hAnsi="Calibri" w:cs="Calibri"/>
          <w:i/>
          <w:noProof/>
          <w:sz w:val="22"/>
          <w:szCs w:val="22"/>
        </w:rPr>
        <w:t>Journal of Teaching and Learning for Graduate Employability</w:t>
      </w:r>
      <w:r w:rsidRPr="00C419B9">
        <w:rPr>
          <w:rFonts w:ascii="Calibri" w:hAnsi="Calibri" w:cs="Calibri"/>
          <w:noProof/>
          <w:sz w:val="22"/>
          <w:szCs w:val="22"/>
        </w:rPr>
        <w:t>,</w:t>
      </w:r>
      <w:r w:rsidRPr="00C419B9">
        <w:rPr>
          <w:rFonts w:ascii="Calibri" w:hAnsi="Calibri" w:cs="Calibri"/>
          <w:i/>
          <w:noProof/>
          <w:sz w:val="22"/>
          <w:szCs w:val="22"/>
        </w:rPr>
        <w:t xml:space="preserve"> 12</w:t>
      </w:r>
      <w:r w:rsidRPr="00C419B9">
        <w:rPr>
          <w:rFonts w:ascii="Calibri" w:hAnsi="Calibri" w:cs="Calibri"/>
          <w:noProof/>
          <w:sz w:val="22"/>
          <w:szCs w:val="22"/>
        </w:rPr>
        <w:t xml:space="preserve">(2), 299–315. </w:t>
      </w:r>
    </w:p>
    <w:p w14:paraId="1158EEE1" w14:textId="640A4E1C"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Li, T., Tien, H.-L. S., Gu, J., &amp; Wang, J. (2022). The relationship between social support and career adaptability: the chain mediating role of perceived career barriers and career maturity. </w:t>
      </w:r>
      <w:r w:rsidRPr="00C419B9">
        <w:rPr>
          <w:rFonts w:ascii="Calibri" w:hAnsi="Calibri" w:cs="Calibri"/>
          <w:i/>
          <w:noProof/>
          <w:sz w:val="22"/>
          <w:szCs w:val="22"/>
        </w:rPr>
        <w:t>International Journal for Educational and Vocational Guidance</w:t>
      </w:r>
      <w:r w:rsidRPr="00C419B9">
        <w:rPr>
          <w:rFonts w:ascii="Calibri" w:hAnsi="Calibri" w:cs="Calibri"/>
          <w:noProof/>
          <w:sz w:val="22"/>
          <w:szCs w:val="22"/>
        </w:rPr>
        <w:t xml:space="preserve">, 1–18. </w:t>
      </w:r>
      <w:hyperlink r:id="rId32" w:history="1">
        <w:r w:rsidRPr="00C419B9">
          <w:rPr>
            <w:rStyle w:val="Hyperlink"/>
            <w:rFonts w:ascii="Calibri" w:hAnsi="Calibri" w:cs="Calibri"/>
            <w:noProof/>
            <w:sz w:val="22"/>
            <w:szCs w:val="22"/>
          </w:rPr>
          <w:t>https://doi.org/10.1007/s10775-021-09515-x</w:t>
        </w:r>
      </w:hyperlink>
      <w:r w:rsidRPr="00C419B9">
        <w:rPr>
          <w:rFonts w:ascii="Calibri" w:hAnsi="Calibri" w:cs="Calibri"/>
          <w:noProof/>
          <w:sz w:val="22"/>
          <w:szCs w:val="22"/>
        </w:rPr>
        <w:t xml:space="preserve"> </w:t>
      </w:r>
    </w:p>
    <w:p w14:paraId="35D01E80" w14:textId="4F5202BD"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McKinnon, M. (2020). The absence of evidence of the effectiveness of Australian gender equity in STEM initiatives. </w:t>
      </w:r>
      <w:r w:rsidRPr="00C419B9">
        <w:rPr>
          <w:rFonts w:ascii="Calibri" w:hAnsi="Calibri" w:cs="Calibri"/>
          <w:i/>
          <w:noProof/>
          <w:sz w:val="22"/>
          <w:szCs w:val="22"/>
        </w:rPr>
        <w:t>Australian Journal of Social Issues</w:t>
      </w:r>
      <w:r w:rsidRPr="00C419B9">
        <w:rPr>
          <w:rFonts w:ascii="Calibri" w:hAnsi="Calibri" w:cs="Calibri"/>
          <w:noProof/>
          <w:sz w:val="22"/>
          <w:szCs w:val="22"/>
        </w:rPr>
        <w:t xml:space="preserve">, 1–14. </w:t>
      </w:r>
      <w:hyperlink r:id="rId33" w:history="1">
        <w:r w:rsidRPr="00C419B9">
          <w:rPr>
            <w:rStyle w:val="Hyperlink"/>
            <w:rFonts w:ascii="Calibri" w:hAnsi="Calibri" w:cs="Calibri"/>
            <w:noProof/>
            <w:sz w:val="22"/>
            <w:szCs w:val="22"/>
          </w:rPr>
          <w:t>https://doi.org/10.1002/ajs4.142</w:t>
        </w:r>
      </w:hyperlink>
      <w:r w:rsidRPr="00C419B9">
        <w:rPr>
          <w:rFonts w:ascii="Calibri" w:hAnsi="Calibri" w:cs="Calibri"/>
          <w:noProof/>
          <w:sz w:val="22"/>
          <w:szCs w:val="22"/>
        </w:rPr>
        <w:t xml:space="preserve"> </w:t>
      </w:r>
    </w:p>
    <w:p w14:paraId="382534AE" w14:textId="30F1B428"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Mikkonen, S., Pylväs, L., Rintala, H., Nokelainen, P., &amp; Postareff, L. (2017). Guiding workplace learning in vocational education and training: a literature review. </w:t>
      </w:r>
      <w:r w:rsidRPr="00C419B9">
        <w:rPr>
          <w:rFonts w:ascii="Calibri" w:hAnsi="Calibri" w:cs="Calibri"/>
          <w:i/>
          <w:noProof/>
          <w:sz w:val="22"/>
          <w:szCs w:val="22"/>
        </w:rPr>
        <w:t>Empirical Research in Vocational Education and Training</w:t>
      </w:r>
      <w:r w:rsidRPr="00C419B9">
        <w:rPr>
          <w:rFonts w:ascii="Calibri" w:hAnsi="Calibri" w:cs="Calibri"/>
          <w:noProof/>
          <w:sz w:val="22"/>
          <w:szCs w:val="22"/>
        </w:rPr>
        <w:t>,</w:t>
      </w:r>
      <w:r w:rsidRPr="00C419B9">
        <w:rPr>
          <w:rFonts w:ascii="Calibri" w:hAnsi="Calibri" w:cs="Calibri"/>
          <w:i/>
          <w:noProof/>
          <w:sz w:val="22"/>
          <w:szCs w:val="22"/>
        </w:rPr>
        <w:t xml:space="preserve"> 9</w:t>
      </w:r>
      <w:r w:rsidRPr="00C419B9">
        <w:rPr>
          <w:rFonts w:ascii="Calibri" w:hAnsi="Calibri" w:cs="Calibri"/>
          <w:noProof/>
          <w:sz w:val="22"/>
          <w:szCs w:val="22"/>
        </w:rPr>
        <w:t xml:space="preserve">(1). </w:t>
      </w:r>
      <w:hyperlink r:id="rId34" w:history="1">
        <w:r w:rsidRPr="00C419B9">
          <w:rPr>
            <w:rStyle w:val="Hyperlink"/>
            <w:rFonts w:ascii="Calibri" w:hAnsi="Calibri" w:cs="Calibri"/>
            <w:noProof/>
            <w:sz w:val="22"/>
            <w:szCs w:val="22"/>
          </w:rPr>
          <w:t>https://doi.org/10.1186/s40461-017-0053-4</w:t>
        </w:r>
      </w:hyperlink>
      <w:r w:rsidRPr="00C419B9">
        <w:rPr>
          <w:rFonts w:ascii="Calibri" w:hAnsi="Calibri" w:cs="Calibri"/>
          <w:noProof/>
          <w:sz w:val="22"/>
          <w:szCs w:val="22"/>
        </w:rPr>
        <w:t xml:space="preserve"> </w:t>
      </w:r>
    </w:p>
    <w:p w14:paraId="169C012D"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Misko, J., Lees, M., &amp; Chew, E. (2021). </w:t>
      </w:r>
      <w:r w:rsidRPr="00C419B9">
        <w:rPr>
          <w:rFonts w:ascii="Calibri" w:hAnsi="Calibri" w:cs="Calibri"/>
          <w:i/>
          <w:noProof/>
          <w:sz w:val="22"/>
          <w:szCs w:val="22"/>
        </w:rPr>
        <w:t>VET for secondary school students: insights and outcomes</w:t>
      </w:r>
      <w:r w:rsidRPr="00C419B9">
        <w:rPr>
          <w:rFonts w:ascii="Calibri" w:hAnsi="Calibri" w:cs="Calibri"/>
          <w:noProof/>
          <w:sz w:val="22"/>
          <w:szCs w:val="22"/>
        </w:rPr>
        <w:t xml:space="preserve">. NCVER. </w:t>
      </w:r>
    </w:p>
    <w:p w14:paraId="50969271" w14:textId="756D8260"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Murcia, K., Pepper, C., &amp; Williams, J. (2020). Youth STEM career choices: What's influencing secondary students's decision making. </w:t>
      </w:r>
      <w:r w:rsidRPr="00C419B9">
        <w:rPr>
          <w:rFonts w:ascii="Calibri" w:hAnsi="Calibri" w:cs="Calibri"/>
          <w:i/>
          <w:noProof/>
          <w:sz w:val="22"/>
          <w:szCs w:val="22"/>
        </w:rPr>
        <w:t>Issues in Educational Research</w:t>
      </w:r>
      <w:r w:rsidRPr="00C419B9">
        <w:rPr>
          <w:rFonts w:ascii="Calibri" w:hAnsi="Calibri" w:cs="Calibri"/>
          <w:noProof/>
          <w:sz w:val="22"/>
          <w:szCs w:val="22"/>
        </w:rPr>
        <w:t>,</w:t>
      </w:r>
      <w:r w:rsidRPr="00C419B9">
        <w:rPr>
          <w:rFonts w:ascii="Calibri" w:hAnsi="Calibri" w:cs="Calibri"/>
          <w:i/>
          <w:noProof/>
          <w:sz w:val="22"/>
          <w:szCs w:val="22"/>
        </w:rPr>
        <w:t xml:space="preserve"> 30</w:t>
      </w:r>
      <w:r w:rsidRPr="00C419B9">
        <w:rPr>
          <w:rFonts w:ascii="Calibri" w:hAnsi="Calibri" w:cs="Calibri"/>
          <w:noProof/>
          <w:sz w:val="22"/>
          <w:szCs w:val="22"/>
        </w:rPr>
        <w:t xml:space="preserve">(2), 593–611. </w:t>
      </w:r>
      <w:hyperlink r:id="rId35" w:history="1">
        <w:r w:rsidRPr="00C419B9">
          <w:rPr>
            <w:rStyle w:val="Hyperlink"/>
            <w:rFonts w:ascii="Calibri" w:hAnsi="Calibri" w:cs="Calibri"/>
            <w:noProof/>
            <w:sz w:val="22"/>
            <w:szCs w:val="22"/>
          </w:rPr>
          <w:t>https://doi.org/10.3316/informit.266265177906130</w:t>
        </w:r>
      </w:hyperlink>
      <w:r w:rsidRPr="00C419B9">
        <w:rPr>
          <w:rFonts w:ascii="Calibri" w:hAnsi="Calibri" w:cs="Calibri"/>
          <w:noProof/>
          <w:sz w:val="22"/>
          <w:szCs w:val="22"/>
        </w:rPr>
        <w:t xml:space="preserve"> </w:t>
      </w:r>
    </w:p>
    <w:p w14:paraId="3CE65A79" w14:textId="6472DBBA"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Nankervis, A., Connell, J., Montague, A., &amp; Burgess, J. (Eds.). (2021). </w:t>
      </w:r>
      <w:r w:rsidRPr="00C419B9">
        <w:rPr>
          <w:rFonts w:ascii="Calibri" w:hAnsi="Calibri" w:cs="Calibri"/>
          <w:i/>
          <w:noProof/>
          <w:sz w:val="22"/>
          <w:szCs w:val="22"/>
        </w:rPr>
        <w:t>The Fourth Industrial Revolution : What does it mean for Australian Industry?</w:t>
      </w:r>
      <w:r w:rsidRPr="00C419B9">
        <w:rPr>
          <w:rFonts w:ascii="Calibri" w:hAnsi="Calibri" w:cs="Calibri"/>
          <w:noProof/>
          <w:sz w:val="22"/>
          <w:szCs w:val="22"/>
        </w:rPr>
        <w:t xml:space="preserve"> Springer Singapore. </w:t>
      </w:r>
      <w:hyperlink r:id="rId36" w:history="1">
        <w:r w:rsidRPr="00C419B9">
          <w:rPr>
            <w:rStyle w:val="Hyperlink"/>
            <w:rFonts w:ascii="Calibri" w:hAnsi="Calibri" w:cs="Calibri"/>
            <w:noProof/>
            <w:sz w:val="22"/>
            <w:szCs w:val="22"/>
          </w:rPr>
          <w:t>https://doi.org/10.1007/978-981-16-1614-3</w:t>
        </w:r>
      </w:hyperlink>
      <w:r w:rsidRPr="00C419B9">
        <w:rPr>
          <w:rFonts w:ascii="Calibri" w:hAnsi="Calibri" w:cs="Calibri"/>
          <w:noProof/>
          <w:sz w:val="22"/>
          <w:szCs w:val="22"/>
        </w:rPr>
        <w:t xml:space="preserve">. </w:t>
      </w:r>
    </w:p>
    <w:p w14:paraId="70242D42" w14:textId="0E46362C"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Neureiter, M., &amp; Traut-Mattausch, E. (2017). Two sides of the career resources coin: Career adaptability resources and the impostor phenomenon. </w:t>
      </w:r>
      <w:r w:rsidRPr="00C419B9">
        <w:rPr>
          <w:rFonts w:ascii="Calibri" w:hAnsi="Calibri" w:cs="Calibri"/>
          <w:i/>
          <w:noProof/>
          <w:sz w:val="22"/>
          <w:szCs w:val="22"/>
        </w:rPr>
        <w:t>Journal of Vocational Behavior</w:t>
      </w:r>
      <w:r w:rsidRPr="00C419B9">
        <w:rPr>
          <w:rFonts w:ascii="Calibri" w:hAnsi="Calibri" w:cs="Calibri"/>
          <w:noProof/>
          <w:sz w:val="22"/>
          <w:szCs w:val="22"/>
        </w:rPr>
        <w:t>,</w:t>
      </w:r>
      <w:r w:rsidRPr="00C419B9">
        <w:rPr>
          <w:rFonts w:ascii="Calibri" w:hAnsi="Calibri" w:cs="Calibri"/>
          <w:i/>
          <w:noProof/>
          <w:sz w:val="22"/>
          <w:szCs w:val="22"/>
        </w:rPr>
        <w:t xml:space="preserve"> 98</w:t>
      </w:r>
      <w:r w:rsidRPr="00C419B9">
        <w:rPr>
          <w:rFonts w:ascii="Calibri" w:hAnsi="Calibri" w:cs="Calibri"/>
          <w:noProof/>
          <w:sz w:val="22"/>
          <w:szCs w:val="22"/>
        </w:rPr>
        <w:t xml:space="preserve">, 56–69. </w:t>
      </w:r>
      <w:hyperlink r:id="rId37" w:history="1">
        <w:r w:rsidRPr="00C419B9">
          <w:rPr>
            <w:rStyle w:val="Hyperlink"/>
            <w:rFonts w:ascii="Calibri" w:hAnsi="Calibri" w:cs="Calibri"/>
            <w:noProof/>
            <w:sz w:val="22"/>
            <w:szCs w:val="22"/>
          </w:rPr>
          <w:t>https://doi.org/10.1016/j.jvb.2016.10.002</w:t>
        </w:r>
      </w:hyperlink>
      <w:r w:rsidRPr="00C419B9">
        <w:rPr>
          <w:rFonts w:ascii="Calibri" w:hAnsi="Calibri" w:cs="Calibri"/>
          <w:noProof/>
          <w:sz w:val="22"/>
          <w:szCs w:val="22"/>
        </w:rPr>
        <w:t xml:space="preserve"> </w:t>
      </w:r>
    </w:p>
    <w:p w14:paraId="298725F2" w14:textId="5C940732"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On Target Work Skills. (2023). </w:t>
      </w:r>
      <w:r w:rsidRPr="00C419B9">
        <w:rPr>
          <w:rFonts w:ascii="Calibri" w:hAnsi="Calibri" w:cs="Calibri"/>
          <w:i/>
          <w:noProof/>
          <w:sz w:val="22"/>
          <w:szCs w:val="22"/>
        </w:rPr>
        <w:t>Learning styles and the Australian VET system</w:t>
      </w:r>
      <w:r w:rsidRPr="00C419B9">
        <w:rPr>
          <w:rFonts w:ascii="Calibri" w:hAnsi="Calibri" w:cs="Calibri"/>
          <w:noProof/>
          <w:sz w:val="22"/>
          <w:szCs w:val="22"/>
        </w:rPr>
        <w:t xml:space="preserve">. Retrieved August 6, 2023 from </w:t>
      </w:r>
      <w:hyperlink r:id="rId38" w:history="1">
        <w:r w:rsidRPr="00C419B9">
          <w:rPr>
            <w:rStyle w:val="Hyperlink"/>
            <w:rFonts w:ascii="Calibri" w:hAnsi="Calibri" w:cs="Calibri"/>
            <w:noProof/>
            <w:sz w:val="22"/>
            <w:szCs w:val="22"/>
          </w:rPr>
          <w:t>https://ontargetworkskills.com/2021/03/15/learning-styles-and-the-australian-vet-system/</w:t>
        </w:r>
      </w:hyperlink>
    </w:p>
    <w:p w14:paraId="2F1B8711"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Parsons, F. (1967). </w:t>
      </w:r>
      <w:r w:rsidRPr="00C419B9">
        <w:rPr>
          <w:rFonts w:ascii="Calibri" w:hAnsi="Calibri" w:cs="Calibri"/>
          <w:i/>
          <w:noProof/>
          <w:sz w:val="22"/>
          <w:szCs w:val="22"/>
        </w:rPr>
        <w:t>Choosing a vocation</w:t>
      </w:r>
      <w:r w:rsidRPr="00C419B9">
        <w:rPr>
          <w:rFonts w:ascii="Calibri" w:hAnsi="Calibri" w:cs="Calibri"/>
          <w:noProof/>
          <w:sz w:val="22"/>
          <w:szCs w:val="22"/>
        </w:rPr>
        <w:t xml:space="preserve">. Agathon Press. </w:t>
      </w:r>
    </w:p>
    <w:p w14:paraId="40EEF9AD" w14:textId="3993E7F0"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Powers, T. E. (2020). Motivated apprentices: the value of workplace and trade school. </w:t>
      </w:r>
      <w:r w:rsidRPr="00C419B9">
        <w:rPr>
          <w:rFonts w:ascii="Calibri" w:hAnsi="Calibri" w:cs="Calibri"/>
          <w:i/>
          <w:noProof/>
          <w:sz w:val="22"/>
          <w:szCs w:val="22"/>
        </w:rPr>
        <w:t>Journal of Education and Work</w:t>
      </w:r>
      <w:r w:rsidRPr="00C419B9">
        <w:rPr>
          <w:rFonts w:ascii="Calibri" w:hAnsi="Calibri" w:cs="Calibri"/>
          <w:noProof/>
          <w:sz w:val="22"/>
          <w:szCs w:val="22"/>
        </w:rPr>
        <w:t>,</w:t>
      </w:r>
      <w:r w:rsidRPr="00C419B9">
        <w:rPr>
          <w:rFonts w:ascii="Calibri" w:hAnsi="Calibri" w:cs="Calibri"/>
          <w:i/>
          <w:noProof/>
          <w:sz w:val="22"/>
          <w:szCs w:val="22"/>
        </w:rPr>
        <w:t xml:space="preserve"> 33</w:t>
      </w:r>
      <w:r w:rsidRPr="00C419B9">
        <w:rPr>
          <w:rFonts w:ascii="Calibri" w:hAnsi="Calibri" w:cs="Calibri"/>
          <w:noProof/>
          <w:sz w:val="22"/>
          <w:szCs w:val="22"/>
        </w:rPr>
        <w:t xml:space="preserve">(1), 81–97. </w:t>
      </w:r>
      <w:hyperlink r:id="rId39" w:history="1">
        <w:r w:rsidRPr="00C419B9">
          <w:rPr>
            <w:rStyle w:val="Hyperlink"/>
            <w:rFonts w:ascii="Calibri" w:hAnsi="Calibri" w:cs="Calibri"/>
            <w:noProof/>
            <w:sz w:val="22"/>
            <w:szCs w:val="22"/>
          </w:rPr>
          <w:t>https://doi.org/10.1080/13639080.2020.1716309</w:t>
        </w:r>
      </w:hyperlink>
      <w:r w:rsidRPr="00C419B9">
        <w:rPr>
          <w:rFonts w:ascii="Calibri" w:hAnsi="Calibri" w:cs="Calibri"/>
          <w:noProof/>
          <w:sz w:val="22"/>
          <w:szCs w:val="22"/>
        </w:rPr>
        <w:t xml:space="preserve"> </w:t>
      </w:r>
    </w:p>
    <w:p w14:paraId="52881689" w14:textId="127A1993"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lastRenderedPageBreak/>
        <w:t xml:space="preserve">Puslednik, L., &amp; Brennan, P. C. (2020). An Australian-based authentic science research programme transforms the 21st century learning of rural high school students. </w:t>
      </w:r>
      <w:r w:rsidRPr="00C419B9">
        <w:rPr>
          <w:rFonts w:ascii="Calibri" w:hAnsi="Calibri" w:cs="Calibri"/>
          <w:i/>
          <w:noProof/>
          <w:sz w:val="22"/>
          <w:szCs w:val="22"/>
        </w:rPr>
        <w:t>Australian Journal of Education</w:t>
      </w:r>
      <w:r w:rsidRPr="00C419B9">
        <w:rPr>
          <w:rFonts w:ascii="Calibri" w:hAnsi="Calibri" w:cs="Calibri"/>
          <w:noProof/>
          <w:sz w:val="22"/>
          <w:szCs w:val="22"/>
        </w:rPr>
        <w:t>,</w:t>
      </w:r>
      <w:r w:rsidRPr="00C419B9">
        <w:rPr>
          <w:rFonts w:ascii="Calibri" w:hAnsi="Calibri" w:cs="Calibri"/>
          <w:i/>
          <w:noProof/>
          <w:sz w:val="22"/>
          <w:szCs w:val="22"/>
        </w:rPr>
        <w:t xml:space="preserve"> 64</w:t>
      </w:r>
      <w:r w:rsidRPr="00C419B9">
        <w:rPr>
          <w:rFonts w:ascii="Calibri" w:hAnsi="Calibri" w:cs="Calibri"/>
          <w:noProof/>
          <w:sz w:val="22"/>
          <w:szCs w:val="22"/>
        </w:rPr>
        <w:t xml:space="preserve">(2), 98–112. </w:t>
      </w:r>
      <w:hyperlink r:id="rId40" w:history="1">
        <w:r w:rsidRPr="00C419B9">
          <w:rPr>
            <w:rStyle w:val="Hyperlink"/>
            <w:rFonts w:ascii="Calibri" w:hAnsi="Calibri" w:cs="Calibri"/>
            <w:noProof/>
            <w:sz w:val="22"/>
            <w:szCs w:val="22"/>
          </w:rPr>
          <w:t>https://doi.org/10.1177/0004944120919890</w:t>
        </w:r>
      </w:hyperlink>
      <w:r w:rsidRPr="00C419B9">
        <w:rPr>
          <w:rFonts w:ascii="Calibri" w:hAnsi="Calibri" w:cs="Calibri"/>
          <w:noProof/>
          <w:sz w:val="22"/>
          <w:szCs w:val="22"/>
        </w:rPr>
        <w:t xml:space="preserve"> </w:t>
      </w:r>
    </w:p>
    <w:p w14:paraId="28BBC292" w14:textId="606624AC"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Rossier, J., Ginevra, M. C., Bollmann, G., &amp; Nota, L. (2017). The importance of career adaptability, career resilience, and employability in designing a successful life. In K. Maree (Ed.), </w:t>
      </w:r>
      <w:r w:rsidRPr="00C419B9">
        <w:rPr>
          <w:rFonts w:ascii="Calibri" w:hAnsi="Calibri" w:cs="Calibri"/>
          <w:i/>
          <w:noProof/>
          <w:sz w:val="22"/>
          <w:szCs w:val="22"/>
        </w:rPr>
        <w:t>Psychology of career adaptability, employability and resilience</w:t>
      </w:r>
      <w:r w:rsidRPr="00C419B9">
        <w:rPr>
          <w:rFonts w:ascii="Calibri" w:hAnsi="Calibri" w:cs="Calibri"/>
          <w:noProof/>
          <w:sz w:val="22"/>
          <w:szCs w:val="22"/>
        </w:rPr>
        <w:t xml:space="preserve"> (pp. 65–82). </w:t>
      </w:r>
      <w:hyperlink r:id="rId41" w:history="1">
        <w:r w:rsidRPr="00C419B9">
          <w:rPr>
            <w:rStyle w:val="Hyperlink"/>
            <w:rFonts w:ascii="Calibri" w:hAnsi="Calibri" w:cs="Calibri"/>
            <w:noProof/>
            <w:sz w:val="22"/>
            <w:szCs w:val="22"/>
          </w:rPr>
          <w:t>https://doi.org/10.1007/978-3-319-66954-0</w:t>
        </w:r>
      </w:hyperlink>
      <w:r w:rsidRPr="00C419B9">
        <w:rPr>
          <w:rFonts w:ascii="Calibri" w:hAnsi="Calibri" w:cs="Calibri"/>
          <w:noProof/>
          <w:sz w:val="22"/>
          <w:szCs w:val="22"/>
        </w:rPr>
        <w:t xml:space="preserve"> </w:t>
      </w:r>
    </w:p>
    <w:p w14:paraId="73B7884F" w14:textId="6C6AA202"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Rottinghaus, P. J., Falk, N. A., &amp; Park, C. J. (2018). Career assessment and counseling for STEM: A critical review. </w:t>
      </w:r>
      <w:r w:rsidRPr="00C419B9">
        <w:rPr>
          <w:rFonts w:ascii="Calibri" w:hAnsi="Calibri" w:cs="Calibri"/>
          <w:i/>
          <w:noProof/>
          <w:sz w:val="22"/>
          <w:szCs w:val="22"/>
        </w:rPr>
        <w:t>The Career Development Quarterly</w:t>
      </w:r>
      <w:r w:rsidRPr="00C419B9">
        <w:rPr>
          <w:rFonts w:ascii="Calibri" w:hAnsi="Calibri" w:cs="Calibri"/>
          <w:noProof/>
          <w:sz w:val="22"/>
          <w:szCs w:val="22"/>
        </w:rPr>
        <w:t>,</w:t>
      </w:r>
      <w:r w:rsidRPr="00C419B9">
        <w:rPr>
          <w:rFonts w:ascii="Calibri" w:hAnsi="Calibri" w:cs="Calibri"/>
          <w:i/>
          <w:noProof/>
          <w:sz w:val="22"/>
          <w:szCs w:val="22"/>
        </w:rPr>
        <w:t xml:space="preserve"> 66</w:t>
      </w:r>
      <w:r w:rsidRPr="00C419B9">
        <w:rPr>
          <w:rFonts w:ascii="Calibri" w:hAnsi="Calibri" w:cs="Calibri"/>
          <w:noProof/>
          <w:sz w:val="22"/>
          <w:szCs w:val="22"/>
        </w:rPr>
        <w:t xml:space="preserve">(1), 2–34. </w:t>
      </w:r>
      <w:hyperlink r:id="rId42" w:history="1">
        <w:r w:rsidRPr="00C419B9">
          <w:rPr>
            <w:rStyle w:val="Hyperlink"/>
            <w:rFonts w:ascii="Calibri" w:hAnsi="Calibri" w:cs="Calibri"/>
            <w:noProof/>
            <w:sz w:val="22"/>
            <w:szCs w:val="22"/>
          </w:rPr>
          <w:t>https://doi.org/10.1002/cdq.12119</w:t>
        </w:r>
      </w:hyperlink>
      <w:r w:rsidRPr="00C419B9">
        <w:rPr>
          <w:rFonts w:ascii="Calibri" w:hAnsi="Calibri" w:cs="Calibri"/>
          <w:noProof/>
          <w:sz w:val="22"/>
          <w:szCs w:val="22"/>
        </w:rPr>
        <w:t xml:space="preserve"> </w:t>
      </w:r>
    </w:p>
    <w:p w14:paraId="371DE482" w14:textId="2A48A660"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Savickas, M. L. (1997). Career adaptability: An integrative construct for life-span, life-space theory. </w:t>
      </w:r>
      <w:r w:rsidRPr="00C419B9">
        <w:rPr>
          <w:rFonts w:ascii="Calibri" w:hAnsi="Calibri" w:cs="Calibri"/>
          <w:i/>
          <w:noProof/>
          <w:sz w:val="22"/>
          <w:szCs w:val="22"/>
        </w:rPr>
        <w:t>The Career Development Quarterly</w:t>
      </w:r>
      <w:r w:rsidRPr="00C419B9">
        <w:rPr>
          <w:rFonts w:ascii="Calibri" w:hAnsi="Calibri" w:cs="Calibri"/>
          <w:noProof/>
          <w:sz w:val="22"/>
          <w:szCs w:val="22"/>
        </w:rPr>
        <w:t>,</w:t>
      </w:r>
      <w:r w:rsidRPr="00C419B9">
        <w:rPr>
          <w:rFonts w:ascii="Calibri" w:hAnsi="Calibri" w:cs="Calibri"/>
          <w:i/>
          <w:noProof/>
          <w:sz w:val="22"/>
          <w:szCs w:val="22"/>
        </w:rPr>
        <w:t xml:space="preserve"> 45</w:t>
      </w:r>
      <w:r w:rsidRPr="00C419B9">
        <w:rPr>
          <w:rFonts w:ascii="Calibri" w:hAnsi="Calibri" w:cs="Calibri"/>
          <w:noProof/>
          <w:sz w:val="22"/>
          <w:szCs w:val="22"/>
        </w:rPr>
        <w:t xml:space="preserve">(3), 247–259. </w:t>
      </w:r>
      <w:hyperlink r:id="rId43" w:history="1">
        <w:r w:rsidRPr="00C419B9">
          <w:rPr>
            <w:rStyle w:val="Hyperlink"/>
            <w:rFonts w:ascii="Calibri" w:hAnsi="Calibri" w:cs="Calibri"/>
            <w:noProof/>
            <w:sz w:val="22"/>
            <w:szCs w:val="22"/>
          </w:rPr>
          <w:t>https://doi.org/10.1002/j.2161-0045.1997.tb00469.x</w:t>
        </w:r>
      </w:hyperlink>
      <w:r w:rsidRPr="00C419B9">
        <w:rPr>
          <w:rFonts w:ascii="Calibri" w:hAnsi="Calibri" w:cs="Calibri"/>
          <w:noProof/>
          <w:sz w:val="22"/>
          <w:szCs w:val="22"/>
        </w:rPr>
        <w:t xml:space="preserve"> </w:t>
      </w:r>
    </w:p>
    <w:p w14:paraId="4A9E4A3A"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Savickas, M. L. (2002). Career construction: A developmental theory of vocational behavior. In D. Brown (Ed.), </w:t>
      </w:r>
      <w:r w:rsidRPr="00C419B9">
        <w:rPr>
          <w:rFonts w:ascii="Calibri" w:hAnsi="Calibri" w:cs="Calibri"/>
          <w:i/>
          <w:noProof/>
          <w:sz w:val="22"/>
          <w:szCs w:val="22"/>
        </w:rPr>
        <w:t>Career Choice and Development</w:t>
      </w:r>
      <w:r w:rsidRPr="00C419B9">
        <w:rPr>
          <w:rFonts w:ascii="Calibri" w:hAnsi="Calibri" w:cs="Calibri"/>
          <w:noProof/>
          <w:sz w:val="22"/>
          <w:szCs w:val="22"/>
        </w:rPr>
        <w:t xml:space="preserve"> (4th ed., pp. 149–205). Jossey-Bass. </w:t>
      </w:r>
    </w:p>
    <w:p w14:paraId="2D9DE9C5"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Savickas, M. L. (2013). Career construction theory and practice. In S. D. Brown &amp; R. W. Lent (Eds.), </w:t>
      </w:r>
      <w:r w:rsidRPr="00C419B9">
        <w:rPr>
          <w:rFonts w:ascii="Calibri" w:hAnsi="Calibri" w:cs="Calibri"/>
          <w:i/>
          <w:noProof/>
          <w:sz w:val="22"/>
          <w:szCs w:val="22"/>
        </w:rPr>
        <w:t>Career development and counseling: Putting theory and research to work</w:t>
      </w:r>
      <w:r w:rsidRPr="00C419B9">
        <w:rPr>
          <w:rFonts w:ascii="Calibri" w:hAnsi="Calibri" w:cs="Calibri"/>
          <w:noProof/>
          <w:sz w:val="22"/>
          <w:szCs w:val="22"/>
        </w:rPr>
        <w:t xml:space="preserve"> (2nd ed., pp. 147–183). John Wiley &amp; Sons. </w:t>
      </w:r>
    </w:p>
    <w:p w14:paraId="7D5A40F4" w14:textId="5312ECCA"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Savickas, M. L., &amp; Porfeli, E. J. (2011). </w:t>
      </w:r>
      <w:r w:rsidRPr="00C419B9">
        <w:rPr>
          <w:rFonts w:ascii="Calibri" w:hAnsi="Calibri" w:cs="Calibri"/>
          <w:i/>
          <w:noProof/>
          <w:sz w:val="22"/>
          <w:szCs w:val="22"/>
        </w:rPr>
        <w:t>Career Adapt-Abilities Scale</w:t>
      </w:r>
      <w:r w:rsidRPr="00C419B9">
        <w:rPr>
          <w:rFonts w:ascii="Calibri" w:hAnsi="Calibri" w:cs="Calibri"/>
          <w:noProof/>
          <w:sz w:val="22"/>
          <w:szCs w:val="22"/>
        </w:rPr>
        <w:t xml:space="preserve">. Vocopher. </w:t>
      </w:r>
      <w:hyperlink r:id="rId44" w:history="1">
        <w:r w:rsidRPr="00C419B9">
          <w:rPr>
            <w:rStyle w:val="Hyperlink"/>
            <w:rFonts w:ascii="Calibri" w:hAnsi="Calibri" w:cs="Calibri"/>
            <w:noProof/>
            <w:sz w:val="22"/>
            <w:szCs w:val="22"/>
          </w:rPr>
          <w:t>http://www.vocopher.com/ms/caas/CAAS%20master.pdf</w:t>
        </w:r>
      </w:hyperlink>
    </w:p>
    <w:p w14:paraId="496AA677" w14:textId="3F17BFAF"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Savickas, M. L., &amp; Porfeli, E. J. (2012). Career Adapt-Abilities Scale: Construction, reliability, and measurement equivalence across 13 countries. </w:t>
      </w:r>
      <w:r w:rsidRPr="00C419B9">
        <w:rPr>
          <w:rFonts w:ascii="Calibri" w:hAnsi="Calibri" w:cs="Calibri"/>
          <w:i/>
          <w:noProof/>
          <w:sz w:val="22"/>
          <w:szCs w:val="22"/>
        </w:rPr>
        <w:t>Journal of Vocational Behavior</w:t>
      </w:r>
      <w:r w:rsidRPr="00C419B9">
        <w:rPr>
          <w:rFonts w:ascii="Calibri" w:hAnsi="Calibri" w:cs="Calibri"/>
          <w:noProof/>
          <w:sz w:val="22"/>
          <w:szCs w:val="22"/>
        </w:rPr>
        <w:t>,</w:t>
      </w:r>
      <w:r w:rsidRPr="00C419B9">
        <w:rPr>
          <w:rFonts w:ascii="Calibri" w:hAnsi="Calibri" w:cs="Calibri"/>
          <w:i/>
          <w:noProof/>
          <w:sz w:val="22"/>
          <w:szCs w:val="22"/>
        </w:rPr>
        <w:t xml:space="preserve"> 80</w:t>
      </w:r>
      <w:r w:rsidRPr="00C419B9">
        <w:rPr>
          <w:rFonts w:ascii="Calibri" w:hAnsi="Calibri" w:cs="Calibri"/>
          <w:noProof/>
          <w:sz w:val="22"/>
          <w:szCs w:val="22"/>
        </w:rPr>
        <w:t xml:space="preserve">(3), 661–673. </w:t>
      </w:r>
      <w:hyperlink r:id="rId45" w:history="1">
        <w:r w:rsidRPr="00C419B9">
          <w:rPr>
            <w:rStyle w:val="Hyperlink"/>
            <w:rFonts w:ascii="Calibri" w:hAnsi="Calibri" w:cs="Calibri"/>
            <w:noProof/>
            <w:sz w:val="22"/>
            <w:szCs w:val="22"/>
          </w:rPr>
          <w:t>https://doi.org/10.1016/j.jvb.2012.01.011</w:t>
        </w:r>
      </w:hyperlink>
      <w:r w:rsidRPr="00C419B9">
        <w:rPr>
          <w:rFonts w:ascii="Calibri" w:hAnsi="Calibri" w:cs="Calibri"/>
          <w:noProof/>
          <w:sz w:val="22"/>
          <w:szCs w:val="22"/>
        </w:rPr>
        <w:t xml:space="preserve"> </w:t>
      </w:r>
    </w:p>
    <w:p w14:paraId="70A1959A"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Siekmann, G., &amp; Korbel, P. (2016). </w:t>
      </w:r>
      <w:r w:rsidRPr="00C419B9">
        <w:rPr>
          <w:rFonts w:ascii="Calibri" w:hAnsi="Calibri" w:cs="Calibri"/>
          <w:i/>
          <w:noProof/>
          <w:sz w:val="22"/>
          <w:szCs w:val="22"/>
        </w:rPr>
        <w:t>Defining ‘STEM’skills: review and synthesis of the literature</w:t>
      </w:r>
      <w:r w:rsidRPr="00C419B9">
        <w:rPr>
          <w:rFonts w:ascii="Calibri" w:hAnsi="Calibri" w:cs="Calibri"/>
          <w:noProof/>
          <w:sz w:val="22"/>
          <w:szCs w:val="22"/>
        </w:rPr>
        <w:t xml:space="preserve">. Commonwealth of Australia. </w:t>
      </w:r>
    </w:p>
    <w:p w14:paraId="0DCC6A62" w14:textId="1B24FE83"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Siregar, N. C., Rosli, R., &amp; Nite, S. (2023). Students’ interest in Science, Technology, Engineering, and Mathematics (STEM) based on parental education and gender factors. </w:t>
      </w:r>
      <w:r w:rsidRPr="00C419B9">
        <w:rPr>
          <w:rFonts w:ascii="Calibri" w:hAnsi="Calibri" w:cs="Calibri"/>
          <w:i/>
          <w:noProof/>
          <w:sz w:val="22"/>
          <w:szCs w:val="22"/>
        </w:rPr>
        <w:t>International Electronic Journal of Mathematics Education</w:t>
      </w:r>
      <w:r w:rsidRPr="00C419B9">
        <w:rPr>
          <w:rFonts w:ascii="Calibri" w:hAnsi="Calibri" w:cs="Calibri"/>
          <w:noProof/>
          <w:sz w:val="22"/>
          <w:szCs w:val="22"/>
        </w:rPr>
        <w:t>,</w:t>
      </w:r>
      <w:r w:rsidRPr="00C419B9">
        <w:rPr>
          <w:rFonts w:ascii="Calibri" w:hAnsi="Calibri" w:cs="Calibri"/>
          <w:i/>
          <w:noProof/>
          <w:sz w:val="22"/>
          <w:szCs w:val="22"/>
        </w:rPr>
        <w:t xml:space="preserve"> 18</w:t>
      </w:r>
      <w:r w:rsidRPr="00C419B9">
        <w:rPr>
          <w:rFonts w:ascii="Calibri" w:hAnsi="Calibri" w:cs="Calibri"/>
          <w:noProof/>
          <w:sz w:val="22"/>
          <w:szCs w:val="22"/>
        </w:rPr>
        <w:t xml:space="preserve">(2). </w:t>
      </w:r>
      <w:hyperlink r:id="rId46" w:history="1">
        <w:r w:rsidRPr="00C419B9">
          <w:rPr>
            <w:rStyle w:val="Hyperlink"/>
            <w:rFonts w:ascii="Calibri" w:hAnsi="Calibri" w:cs="Calibri"/>
            <w:noProof/>
            <w:sz w:val="22"/>
            <w:szCs w:val="22"/>
          </w:rPr>
          <w:t>https://doi.org/10.29333/iejme/13060</w:t>
        </w:r>
      </w:hyperlink>
      <w:r w:rsidRPr="00C419B9">
        <w:rPr>
          <w:rFonts w:ascii="Calibri" w:hAnsi="Calibri" w:cs="Calibri"/>
          <w:noProof/>
          <w:sz w:val="22"/>
          <w:szCs w:val="22"/>
        </w:rPr>
        <w:t xml:space="preserve"> </w:t>
      </w:r>
    </w:p>
    <w:p w14:paraId="59D7E90D"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SKA. (2021, September 23, 2021). </w:t>
      </w:r>
      <w:r w:rsidRPr="00C419B9">
        <w:rPr>
          <w:rFonts w:ascii="Calibri" w:hAnsi="Calibri" w:cs="Calibri"/>
          <w:i/>
          <w:noProof/>
          <w:sz w:val="22"/>
          <w:szCs w:val="22"/>
        </w:rPr>
        <w:t>Interview transcript</w:t>
      </w:r>
      <w:r w:rsidRPr="00C419B9">
        <w:rPr>
          <w:rFonts w:ascii="Calibri" w:hAnsi="Calibri" w:cs="Calibri"/>
          <w:noProof/>
          <w:sz w:val="22"/>
          <w:szCs w:val="22"/>
        </w:rPr>
        <w:t xml:space="preserve"> [Interview]. Cloudstor+; </w:t>
      </w:r>
    </w:p>
    <w:p w14:paraId="04DB84A0" w14:textId="21A94ABB"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State Government of Victoria. (2019). </w:t>
      </w:r>
      <w:r w:rsidRPr="00C419B9">
        <w:rPr>
          <w:rFonts w:ascii="Calibri" w:hAnsi="Calibri" w:cs="Calibri"/>
          <w:i/>
          <w:noProof/>
          <w:sz w:val="22"/>
          <w:szCs w:val="22"/>
        </w:rPr>
        <w:t>Get qualified to become a teacher</w:t>
      </w:r>
      <w:r w:rsidRPr="00C419B9">
        <w:rPr>
          <w:rFonts w:ascii="Calibri" w:hAnsi="Calibri" w:cs="Calibri"/>
          <w:noProof/>
          <w:sz w:val="22"/>
          <w:szCs w:val="22"/>
        </w:rPr>
        <w:t xml:space="preserve">. </w:t>
      </w:r>
      <w:hyperlink r:id="rId47" w:history="1">
        <w:r w:rsidRPr="00C419B9">
          <w:rPr>
            <w:rStyle w:val="Hyperlink"/>
            <w:rFonts w:ascii="Calibri" w:hAnsi="Calibri" w:cs="Calibri"/>
            <w:noProof/>
            <w:sz w:val="22"/>
            <w:szCs w:val="22"/>
          </w:rPr>
          <w:t>https://www.education.vic.gov.au/about/careers/teacher/Pages/qualifying.aspx</w:t>
        </w:r>
      </w:hyperlink>
    </w:p>
    <w:p w14:paraId="470A3613" w14:textId="1042A8DD"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State Government of Victoria. (2023). </w:t>
      </w:r>
      <w:r w:rsidRPr="00C419B9">
        <w:rPr>
          <w:rFonts w:ascii="Calibri" w:hAnsi="Calibri" w:cs="Calibri"/>
          <w:i/>
          <w:noProof/>
          <w:sz w:val="22"/>
          <w:szCs w:val="22"/>
        </w:rPr>
        <w:t>Is VET a good fit for me?</w:t>
      </w:r>
      <w:r w:rsidRPr="00C419B9">
        <w:rPr>
          <w:rFonts w:ascii="Calibri" w:hAnsi="Calibri" w:cs="Calibri"/>
          <w:noProof/>
          <w:sz w:val="22"/>
          <w:szCs w:val="22"/>
        </w:rPr>
        <w:t xml:space="preserve"> Retrieved August 6, 2023 from </w:t>
      </w:r>
      <w:hyperlink r:id="rId48" w:history="1">
        <w:r w:rsidRPr="00C419B9">
          <w:rPr>
            <w:rStyle w:val="Hyperlink"/>
            <w:rFonts w:ascii="Calibri" w:hAnsi="Calibri" w:cs="Calibri"/>
            <w:noProof/>
            <w:sz w:val="22"/>
            <w:szCs w:val="22"/>
          </w:rPr>
          <w:t>https://www.vic.gov.au/vet-good-fit-me</w:t>
        </w:r>
      </w:hyperlink>
    </w:p>
    <w:p w14:paraId="58C03842" w14:textId="30B7FF9B"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Super, D. E., &amp; Knasel, E. G. (1981). Career development in adulthood: Some theoretical problems </w:t>
      </w:r>
      <w:r w:rsidRPr="00C419B9">
        <w:rPr>
          <w:rFonts w:ascii="Calibri" w:hAnsi="Calibri" w:cs="Calibri"/>
          <w:noProof/>
          <w:sz w:val="22"/>
          <w:szCs w:val="22"/>
        </w:rPr>
        <w:lastRenderedPageBreak/>
        <w:t xml:space="preserve">and a possible solution. </w:t>
      </w:r>
      <w:r w:rsidRPr="00C419B9">
        <w:rPr>
          <w:rFonts w:ascii="Calibri" w:hAnsi="Calibri" w:cs="Calibri"/>
          <w:i/>
          <w:noProof/>
          <w:sz w:val="22"/>
          <w:szCs w:val="22"/>
        </w:rPr>
        <w:t>British Journal of Guidance &amp; Counselling</w:t>
      </w:r>
      <w:r w:rsidRPr="00C419B9">
        <w:rPr>
          <w:rFonts w:ascii="Calibri" w:hAnsi="Calibri" w:cs="Calibri"/>
          <w:noProof/>
          <w:sz w:val="22"/>
          <w:szCs w:val="22"/>
        </w:rPr>
        <w:t>,</w:t>
      </w:r>
      <w:r w:rsidRPr="00C419B9">
        <w:rPr>
          <w:rFonts w:ascii="Calibri" w:hAnsi="Calibri" w:cs="Calibri"/>
          <w:i/>
          <w:noProof/>
          <w:sz w:val="22"/>
          <w:szCs w:val="22"/>
        </w:rPr>
        <w:t xml:space="preserve"> 9</w:t>
      </w:r>
      <w:r w:rsidRPr="00C419B9">
        <w:rPr>
          <w:rFonts w:ascii="Calibri" w:hAnsi="Calibri" w:cs="Calibri"/>
          <w:noProof/>
          <w:sz w:val="22"/>
          <w:szCs w:val="22"/>
        </w:rPr>
        <w:t xml:space="preserve">(2), 194–201. </w:t>
      </w:r>
      <w:hyperlink r:id="rId49" w:history="1">
        <w:r w:rsidRPr="00C419B9">
          <w:rPr>
            <w:rStyle w:val="Hyperlink"/>
            <w:rFonts w:ascii="Calibri" w:hAnsi="Calibri" w:cs="Calibri"/>
            <w:noProof/>
            <w:sz w:val="22"/>
            <w:szCs w:val="22"/>
          </w:rPr>
          <w:t>https://doi.org/10.1080/03069888108258214</w:t>
        </w:r>
      </w:hyperlink>
      <w:r w:rsidRPr="00C419B9">
        <w:rPr>
          <w:rFonts w:ascii="Calibri" w:hAnsi="Calibri" w:cs="Calibri"/>
          <w:noProof/>
          <w:sz w:val="22"/>
          <w:szCs w:val="22"/>
        </w:rPr>
        <w:t xml:space="preserve"> </w:t>
      </w:r>
    </w:p>
    <w:p w14:paraId="45E25DE4" w14:textId="020CD3E2"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Toh, L., &amp; Watt, H. M. G. (2022). How do adolescent mathematical self-concept and values explain attainment of different kinds of STEM degrees in adulthood? </w:t>
      </w:r>
      <w:r w:rsidRPr="00C419B9">
        <w:rPr>
          <w:rFonts w:ascii="Calibri" w:hAnsi="Calibri" w:cs="Calibri"/>
          <w:i/>
          <w:noProof/>
          <w:sz w:val="22"/>
          <w:szCs w:val="22"/>
        </w:rPr>
        <w:t>Contemporary Educational Psychology</w:t>
      </w:r>
      <w:r w:rsidRPr="00C419B9">
        <w:rPr>
          <w:rFonts w:ascii="Calibri" w:hAnsi="Calibri" w:cs="Calibri"/>
          <w:noProof/>
          <w:sz w:val="22"/>
          <w:szCs w:val="22"/>
        </w:rPr>
        <w:t>,</w:t>
      </w:r>
      <w:r w:rsidRPr="00C419B9">
        <w:rPr>
          <w:rFonts w:ascii="Calibri" w:hAnsi="Calibri" w:cs="Calibri"/>
          <w:i/>
          <w:noProof/>
          <w:sz w:val="22"/>
          <w:szCs w:val="22"/>
        </w:rPr>
        <w:t xml:space="preserve"> 69</w:t>
      </w:r>
      <w:r w:rsidRPr="00C419B9">
        <w:rPr>
          <w:rFonts w:ascii="Calibri" w:hAnsi="Calibri" w:cs="Calibri"/>
          <w:noProof/>
          <w:sz w:val="22"/>
          <w:szCs w:val="22"/>
        </w:rPr>
        <w:t xml:space="preserve">(102057). </w:t>
      </w:r>
      <w:hyperlink r:id="rId50" w:history="1">
        <w:r w:rsidRPr="00C419B9">
          <w:rPr>
            <w:rStyle w:val="Hyperlink"/>
            <w:rFonts w:ascii="Calibri" w:hAnsi="Calibri" w:cs="Calibri"/>
            <w:noProof/>
            <w:sz w:val="22"/>
            <w:szCs w:val="22"/>
          </w:rPr>
          <w:t>https://doi.org/10.1016/j.cedpsych.2022.102057</w:t>
        </w:r>
      </w:hyperlink>
      <w:r w:rsidRPr="00C419B9">
        <w:rPr>
          <w:rFonts w:ascii="Calibri" w:hAnsi="Calibri" w:cs="Calibri"/>
          <w:noProof/>
          <w:sz w:val="22"/>
          <w:szCs w:val="22"/>
        </w:rPr>
        <w:t xml:space="preserve"> </w:t>
      </w:r>
    </w:p>
    <w:p w14:paraId="7028E0B3"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UNESCO-UNEVOC. (2018). </w:t>
      </w:r>
      <w:r w:rsidRPr="00C419B9">
        <w:rPr>
          <w:rFonts w:ascii="Calibri" w:hAnsi="Calibri" w:cs="Calibri"/>
          <w:i/>
          <w:noProof/>
          <w:sz w:val="22"/>
          <w:szCs w:val="22"/>
        </w:rPr>
        <w:t>Short summary of the Virtual Conference on improving the image of TVET: Making TVET attractive to youth.” Bonn, Germany.</w:t>
      </w:r>
      <w:r w:rsidRPr="00C419B9">
        <w:rPr>
          <w:rFonts w:ascii="Calibri" w:hAnsi="Calibri" w:cs="Calibri"/>
          <w:noProof/>
          <w:sz w:val="22"/>
          <w:szCs w:val="22"/>
        </w:rPr>
        <w:t xml:space="preserve"> </w:t>
      </w:r>
    </w:p>
    <w:p w14:paraId="3F431103" w14:textId="1D9D87EF"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Vaitekaitis, J. (2020). What labour market? A critical STEM supply shortage investigation: Lithuanian case. </w:t>
      </w:r>
      <w:r w:rsidRPr="00C419B9">
        <w:rPr>
          <w:rFonts w:ascii="Calibri" w:hAnsi="Calibri" w:cs="Calibri"/>
          <w:i/>
          <w:noProof/>
          <w:sz w:val="22"/>
          <w:szCs w:val="22"/>
        </w:rPr>
        <w:t>Journal of Education, Culture and Society</w:t>
      </w:r>
      <w:r w:rsidRPr="00C419B9">
        <w:rPr>
          <w:rFonts w:ascii="Calibri" w:hAnsi="Calibri" w:cs="Calibri"/>
          <w:noProof/>
          <w:sz w:val="22"/>
          <w:szCs w:val="22"/>
        </w:rPr>
        <w:t>,</w:t>
      </w:r>
      <w:r w:rsidRPr="00C419B9">
        <w:rPr>
          <w:rFonts w:ascii="Calibri" w:hAnsi="Calibri" w:cs="Calibri"/>
          <w:i/>
          <w:noProof/>
          <w:sz w:val="22"/>
          <w:szCs w:val="22"/>
        </w:rPr>
        <w:t xml:space="preserve"> 11</w:t>
      </w:r>
      <w:r w:rsidRPr="00C419B9">
        <w:rPr>
          <w:rFonts w:ascii="Calibri" w:hAnsi="Calibri" w:cs="Calibri"/>
          <w:noProof/>
          <w:sz w:val="22"/>
          <w:szCs w:val="22"/>
        </w:rPr>
        <w:t xml:space="preserve">(2), 403–421. </w:t>
      </w:r>
      <w:hyperlink r:id="rId51" w:history="1">
        <w:r w:rsidRPr="00C419B9">
          <w:rPr>
            <w:rStyle w:val="Hyperlink"/>
            <w:rFonts w:ascii="Calibri" w:hAnsi="Calibri" w:cs="Calibri"/>
            <w:noProof/>
            <w:sz w:val="22"/>
            <w:szCs w:val="22"/>
          </w:rPr>
          <w:t>https://doi.org/10.15503/jecs2020.2.403.421</w:t>
        </w:r>
      </w:hyperlink>
      <w:r w:rsidRPr="00C419B9">
        <w:rPr>
          <w:rFonts w:ascii="Calibri" w:hAnsi="Calibri" w:cs="Calibri"/>
          <w:noProof/>
          <w:sz w:val="22"/>
          <w:szCs w:val="22"/>
        </w:rPr>
        <w:t xml:space="preserve"> </w:t>
      </w:r>
    </w:p>
    <w:p w14:paraId="38EC652D" w14:textId="77777777"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Walker, I. (2019). The TAFE report: Changing young people's perceptions of TAFE and vocational education. In. Sydney: Year13 and YouthSense.</w:t>
      </w:r>
    </w:p>
    <w:p w14:paraId="10911EB2" w14:textId="77E7AF48"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Xia, X., Bentley, L. R., Fan, X., &amp; Tai, R. H. (2024). STEM Outside of school: A meta-analysis of the effects of informal science education on students' interests and attitudes for STEM. </w:t>
      </w:r>
      <w:r w:rsidRPr="00C419B9">
        <w:rPr>
          <w:rFonts w:ascii="Calibri" w:hAnsi="Calibri" w:cs="Calibri"/>
          <w:i/>
          <w:noProof/>
          <w:sz w:val="22"/>
          <w:szCs w:val="22"/>
        </w:rPr>
        <w:t>International Journal of Science and Mathematics Education</w:t>
      </w:r>
      <w:r w:rsidRPr="00C419B9">
        <w:rPr>
          <w:rFonts w:ascii="Calibri" w:hAnsi="Calibri" w:cs="Calibri"/>
          <w:noProof/>
          <w:sz w:val="22"/>
          <w:szCs w:val="22"/>
        </w:rPr>
        <w:t xml:space="preserve">. </w:t>
      </w:r>
      <w:hyperlink r:id="rId52" w:history="1">
        <w:r w:rsidRPr="00C419B9">
          <w:rPr>
            <w:rStyle w:val="Hyperlink"/>
            <w:rFonts w:ascii="Calibri" w:hAnsi="Calibri" w:cs="Calibri"/>
            <w:noProof/>
            <w:sz w:val="22"/>
            <w:szCs w:val="22"/>
          </w:rPr>
          <w:t>https://doi.org/10.1007/s10763-024-10504-z</w:t>
        </w:r>
      </w:hyperlink>
      <w:r w:rsidRPr="00C419B9">
        <w:rPr>
          <w:rFonts w:ascii="Calibri" w:hAnsi="Calibri" w:cs="Calibri"/>
          <w:noProof/>
          <w:sz w:val="22"/>
          <w:szCs w:val="22"/>
        </w:rPr>
        <w:t xml:space="preserve"> </w:t>
      </w:r>
    </w:p>
    <w:p w14:paraId="5BFFC5CA" w14:textId="1D674BCC" w:rsidR="00552685" w:rsidRPr="00C419B9" w:rsidRDefault="00552685" w:rsidP="007715EE">
      <w:pPr>
        <w:pStyle w:val="EndNoteBibliography"/>
        <w:spacing w:after="0" w:line="360" w:lineRule="auto"/>
        <w:ind w:left="720" w:hanging="720"/>
        <w:rPr>
          <w:rFonts w:ascii="Calibri" w:hAnsi="Calibri" w:cs="Calibri"/>
          <w:noProof/>
          <w:sz w:val="22"/>
          <w:szCs w:val="22"/>
        </w:rPr>
      </w:pPr>
      <w:r w:rsidRPr="00C419B9">
        <w:rPr>
          <w:rFonts w:ascii="Calibri" w:hAnsi="Calibri" w:cs="Calibri"/>
          <w:noProof/>
          <w:sz w:val="22"/>
          <w:szCs w:val="22"/>
        </w:rPr>
        <w:t xml:space="preserve">Xu, L., Fang, S.-C., &amp; Hobbs, L. (2022). The relevance of STEM: a case study of an Australian secondary school as an arena of STEM curriculum innovation and enactment. </w:t>
      </w:r>
      <w:r w:rsidRPr="00C419B9">
        <w:rPr>
          <w:rFonts w:ascii="Calibri" w:hAnsi="Calibri" w:cs="Calibri"/>
          <w:i/>
          <w:noProof/>
          <w:sz w:val="22"/>
          <w:szCs w:val="22"/>
        </w:rPr>
        <w:t>International Journal of Science and Mathematics Education</w:t>
      </w:r>
      <w:r w:rsidRPr="00C419B9">
        <w:rPr>
          <w:rFonts w:ascii="Calibri" w:hAnsi="Calibri" w:cs="Calibri"/>
          <w:noProof/>
          <w:sz w:val="22"/>
          <w:szCs w:val="22"/>
        </w:rPr>
        <w:t xml:space="preserve">. </w:t>
      </w:r>
      <w:hyperlink r:id="rId53" w:history="1">
        <w:r w:rsidRPr="00C419B9">
          <w:rPr>
            <w:rStyle w:val="Hyperlink"/>
            <w:rFonts w:ascii="Calibri" w:hAnsi="Calibri" w:cs="Calibri"/>
            <w:noProof/>
            <w:sz w:val="22"/>
            <w:szCs w:val="22"/>
          </w:rPr>
          <w:t>https://doi.org/10.1007/s10763-022-10267-5</w:t>
        </w:r>
      </w:hyperlink>
      <w:r w:rsidRPr="00C419B9">
        <w:rPr>
          <w:rFonts w:ascii="Calibri" w:hAnsi="Calibri" w:cs="Calibri"/>
          <w:noProof/>
          <w:sz w:val="22"/>
          <w:szCs w:val="22"/>
        </w:rPr>
        <w:t xml:space="preserve"> </w:t>
      </w:r>
    </w:p>
    <w:p w14:paraId="6DD852A4" w14:textId="16B09739" w:rsidR="00552685" w:rsidRPr="00C419B9" w:rsidRDefault="00552685" w:rsidP="007715EE">
      <w:pPr>
        <w:pStyle w:val="EndNoteBibliography"/>
        <w:spacing w:line="360" w:lineRule="auto"/>
        <w:ind w:left="720" w:hanging="720"/>
        <w:rPr>
          <w:rFonts w:ascii="Calibri" w:hAnsi="Calibri" w:cs="Calibri"/>
          <w:sz w:val="22"/>
          <w:szCs w:val="22"/>
        </w:rPr>
      </w:pPr>
      <w:r w:rsidRPr="00C419B9">
        <w:rPr>
          <w:rFonts w:ascii="Calibri" w:hAnsi="Calibri" w:cs="Calibri"/>
          <w:noProof/>
          <w:sz w:val="22"/>
          <w:szCs w:val="22"/>
        </w:rPr>
        <w:t xml:space="preserve">YES. (2021, December 20,). </w:t>
      </w:r>
      <w:r w:rsidRPr="00C419B9">
        <w:rPr>
          <w:rFonts w:ascii="Calibri" w:hAnsi="Calibri" w:cs="Calibri"/>
          <w:i/>
          <w:noProof/>
          <w:sz w:val="22"/>
          <w:szCs w:val="22"/>
        </w:rPr>
        <w:t>Interview transcript</w:t>
      </w:r>
      <w:r w:rsidRPr="00C419B9">
        <w:rPr>
          <w:rFonts w:ascii="Calibri" w:hAnsi="Calibri" w:cs="Calibri"/>
          <w:noProof/>
          <w:sz w:val="22"/>
          <w:szCs w:val="22"/>
        </w:rPr>
        <w:t xml:space="preserve"> [Interview]. Cloudstor+; </w:t>
      </w:r>
    </w:p>
    <w:p w14:paraId="49ED38FF" w14:textId="7E53BF21" w:rsidR="00F17101" w:rsidRPr="00C419B9" w:rsidRDefault="00F17101" w:rsidP="007715EE">
      <w:pPr>
        <w:widowControl w:val="0"/>
        <w:kinsoku w:val="0"/>
        <w:overflowPunct w:val="0"/>
        <w:adjustRightInd w:val="0"/>
        <w:snapToGrid w:val="0"/>
        <w:spacing w:line="360" w:lineRule="auto"/>
        <w:ind w:firstLine="0"/>
        <w:jc w:val="both"/>
        <w:rPr>
          <w:rFonts w:ascii="Calibri" w:hAnsi="Calibri" w:cs="Calibri"/>
          <w:sz w:val="22"/>
          <w:szCs w:val="22"/>
        </w:rPr>
      </w:pPr>
    </w:p>
    <w:sectPr w:rsidR="00F17101" w:rsidRPr="00C419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A740F" w14:textId="77777777" w:rsidR="00AB7923" w:rsidRDefault="00AB7923" w:rsidP="00F17101">
      <w:pPr>
        <w:spacing w:line="240" w:lineRule="auto"/>
      </w:pPr>
      <w:r>
        <w:separator/>
      </w:r>
    </w:p>
  </w:endnote>
  <w:endnote w:type="continuationSeparator" w:id="0">
    <w:p w14:paraId="5F0A52BC" w14:textId="77777777" w:rsidR="00AB7923" w:rsidRDefault="00AB7923" w:rsidP="00F1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empos Text Regular">
    <w:altName w:val="Cambria"/>
    <w:charset w:val="00"/>
    <w:family w:val="roman"/>
    <w:pitch w:val="default"/>
    <w:sig w:usb0="00000003" w:usb1="00000000" w:usb2="00000000" w:usb3="00000000" w:csb0="00000001" w:csb1="00000000"/>
  </w:font>
  <w:font w:name="Gotham Narrow Medium">
    <w:altName w:val="Tahoma"/>
    <w:charset w:val="00"/>
    <w:family w:val="swiss"/>
    <w:pitch w:val="default"/>
    <w:sig w:usb0="00000003" w:usb1="00000000" w:usb2="00000000" w:usb3="00000000" w:csb0="00000001" w:csb1="00000000"/>
  </w:font>
  <w:font w:name="Noto Sans">
    <w:charset w:val="00"/>
    <w:family w:val="swiss"/>
    <w:pitch w:val="variable"/>
    <w:sig w:usb0="E00082FF" w:usb1="400078F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Calibri-Bold">
    <w:altName w:val="Calibri"/>
    <w:charset w:val="00"/>
    <w:family w:val="roman"/>
    <w:pitch w:val="default"/>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1B187" w14:textId="77777777" w:rsidR="00AB7923" w:rsidRDefault="00AB7923" w:rsidP="00F17101">
      <w:pPr>
        <w:spacing w:line="240" w:lineRule="auto"/>
      </w:pPr>
      <w:r>
        <w:separator/>
      </w:r>
    </w:p>
  </w:footnote>
  <w:footnote w:type="continuationSeparator" w:id="0">
    <w:p w14:paraId="0F37BF07" w14:textId="77777777" w:rsidR="00AB7923" w:rsidRDefault="00AB7923" w:rsidP="00F1710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802"/>
    <w:multiLevelType w:val="multilevel"/>
    <w:tmpl w:val="41A6DF1A"/>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05942400"/>
    <w:multiLevelType w:val="hybridMultilevel"/>
    <w:tmpl w:val="740692BC"/>
    <w:lvl w:ilvl="0" w:tplc="D51E8758">
      <w:numFmt w:val="bullet"/>
      <w:lvlText w:val="-"/>
      <w:lvlJc w:val="left"/>
      <w:pPr>
        <w:ind w:left="682" w:hanging="123"/>
      </w:pPr>
      <w:rPr>
        <w:rFonts w:ascii="Arial" w:eastAsia="Arial" w:hAnsi="Arial" w:cs="Arial" w:hint="default"/>
        <w:b w:val="0"/>
        <w:bCs w:val="0"/>
        <w:i w:val="0"/>
        <w:iCs w:val="0"/>
        <w:spacing w:val="0"/>
        <w:w w:val="100"/>
        <w:sz w:val="20"/>
        <w:szCs w:val="20"/>
        <w:lang w:val="en-US" w:eastAsia="en-US" w:bidi="ar-SA"/>
      </w:rPr>
    </w:lvl>
    <w:lvl w:ilvl="1" w:tplc="D6787364">
      <w:numFmt w:val="bullet"/>
      <w:lvlText w:val="•"/>
      <w:lvlJc w:val="left"/>
      <w:pPr>
        <w:ind w:left="1775" w:hanging="123"/>
      </w:pPr>
      <w:rPr>
        <w:rFonts w:hint="default"/>
        <w:lang w:val="en-US" w:eastAsia="en-US" w:bidi="ar-SA"/>
      </w:rPr>
    </w:lvl>
    <w:lvl w:ilvl="2" w:tplc="5606BE26">
      <w:numFmt w:val="bullet"/>
      <w:lvlText w:val="•"/>
      <w:lvlJc w:val="left"/>
      <w:pPr>
        <w:ind w:left="2870" w:hanging="123"/>
      </w:pPr>
      <w:rPr>
        <w:rFonts w:hint="default"/>
        <w:lang w:val="en-US" w:eastAsia="en-US" w:bidi="ar-SA"/>
      </w:rPr>
    </w:lvl>
    <w:lvl w:ilvl="3" w:tplc="30A206F0">
      <w:numFmt w:val="bullet"/>
      <w:lvlText w:val="•"/>
      <w:lvlJc w:val="left"/>
      <w:pPr>
        <w:ind w:left="3965" w:hanging="123"/>
      </w:pPr>
      <w:rPr>
        <w:rFonts w:hint="default"/>
        <w:lang w:val="en-US" w:eastAsia="en-US" w:bidi="ar-SA"/>
      </w:rPr>
    </w:lvl>
    <w:lvl w:ilvl="4" w:tplc="5F4C7BA0">
      <w:numFmt w:val="bullet"/>
      <w:lvlText w:val="•"/>
      <w:lvlJc w:val="left"/>
      <w:pPr>
        <w:ind w:left="5060" w:hanging="123"/>
      </w:pPr>
      <w:rPr>
        <w:rFonts w:hint="default"/>
        <w:lang w:val="en-US" w:eastAsia="en-US" w:bidi="ar-SA"/>
      </w:rPr>
    </w:lvl>
    <w:lvl w:ilvl="5" w:tplc="08D07E3A">
      <w:numFmt w:val="bullet"/>
      <w:lvlText w:val="•"/>
      <w:lvlJc w:val="left"/>
      <w:pPr>
        <w:ind w:left="6155" w:hanging="123"/>
      </w:pPr>
      <w:rPr>
        <w:rFonts w:hint="default"/>
        <w:lang w:val="en-US" w:eastAsia="en-US" w:bidi="ar-SA"/>
      </w:rPr>
    </w:lvl>
    <w:lvl w:ilvl="6" w:tplc="09CA0622">
      <w:numFmt w:val="bullet"/>
      <w:lvlText w:val="•"/>
      <w:lvlJc w:val="left"/>
      <w:pPr>
        <w:ind w:left="7250" w:hanging="123"/>
      </w:pPr>
      <w:rPr>
        <w:rFonts w:hint="default"/>
        <w:lang w:val="en-US" w:eastAsia="en-US" w:bidi="ar-SA"/>
      </w:rPr>
    </w:lvl>
    <w:lvl w:ilvl="7" w:tplc="98F46630">
      <w:numFmt w:val="bullet"/>
      <w:lvlText w:val="•"/>
      <w:lvlJc w:val="left"/>
      <w:pPr>
        <w:ind w:left="8345" w:hanging="123"/>
      </w:pPr>
      <w:rPr>
        <w:rFonts w:hint="default"/>
        <w:lang w:val="en-US" w:eastAsia="en-US" w:bidi="ar-SA"/>
      </w:rPr>
    </w:lvl>
    <w:lvl w:ilvl="8" w:tplc="A3F0BAF8">
      <w:numFmt w:val="bullet"/>
      <w:lvlText w:val="•"/>
      <w:lvlJc w:val="left"/>
      <w:pPr>
        <w:ind w:left="9440" w:hanging="123"/>
      </w:pPr>
      <w:rPr>
        <w:rFonts w:hint="default"/>
        <w:lang w:val="en-US" w:eastAsia="en-US" w:bidi="ar-SA"/>
      </w:rPr>
    </w:lvl>
  </w:abstractNum>
  <w:abstractNum w:abstractNumId="2" w15:restartNumberingAfterBreak="0">
    <w:nsid w:val="069B1DEA"/>
    <w:multiLevelType w:val="hybridMultilevel"/>
    <w:tmpl w:val="FEF4592C"/>
    <w:lvl w:ilvl="0" w:tplc="6C6A7EE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7642A4A"/>
    <w:multiLevelType w:val="hybridMultilevel"/>
    <w:tmpl w:val="E01E6720"/>
    <w:lvl w:ilvl="0" w:tplc="9D6E23EE">
      <w:start w:val="478"/>
      <w:numFmt w:val="bullet"/>
      <w:lvlText w:val="-"/>
      <w:lvlJc w:val="left"/>
      <w:pPr>
        <w:ind w:left="1080" w:hanging="360"/>
      </w:pPr>
      <w:rPr>
        <w:rFonts w:ascii="Arial" w:eastAsiaTheme="majorEastAsia"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7F5652F"/>
    <w:multiLevelType w:val="multilevel"/>
    <w:tmpl w:val="EBD8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5529D"/>
    <w:multiLevelType w:val="multilevel"/>
    <w:tmpl w:val="25B4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C6F59"/>
    <w:multiLevelType w:val="hybridMultilevel"/>
    <w:tmpl w:val="E4E4AC90"/>
    <w:lvl w:ilvl="0" w:tplc="73B67BF4">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D30639"/>
    <w:multiLevelType w:val="multilevel"/>
    <w:tmpl w:val="B4A2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80247"/>
    <w:multiLevelType w:val="hybridMultilevel"/>
    <w:tmpl w:val="0ABAE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B211B9"/>
    <w:multiLevelType w:val="multilevel"/>
    <w:tmpl w:val="546A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173766"/>
    <w:multiLevelType w:val="multilevel"/>
    <w:tmpl w:val="13A4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474E12"/>
    <w:multiLevelType w:val="multilevel"/>
    <w:tmpl w:val="D6C4BC9A"/>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A4A1E0E"/>
    <w:multiLevelType w:val="multilevel"/>
    <w:tmpl w:val="0C09001F"/>
    <w:styleLink w:val="CurrentList1"/>
    <w:lvl w:ilvl="0">
      <w:start w:val="1"/>
      <w:numFmt w:val="decimal"/>
      <w:pStyle w:val="CurrentList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524CFA"/>
    <w:multiLevelType w:val="hybridMultilevel"/>
    <w:tmpl w:val="90C43426"/>
    <w:lvl w:ilvl="0" w:tplc="4EC0A890">
      <w:start w:val="1"/>
      <w:numFmt w:val="bullet"/>
      <w:lvlText w:val=""/>
      <w:lvlJc w:val="left"/>
      <w:pPr>
        <w:ind w:left="720" w:hanging="360"/>
      </w:pPr>
      <w:rPr>
        <w:rFonts w:ascii="Symbol" w:hAnsi="Symbol" w:hint="default"/>
        <w:color w:val="00206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620946"/>
    <w:multiLevelType w:val="hybridMultilevel"/>
    <w:tmpl w:val="C9C2C0B2"/>
    <w:lvl w:ilvl="0" w:tplc="4EC0A890">
      <w:start w:val="1"/>
      <w:numFmt w:val="bullet"/>
      <w:lvlText w:val=""/>
      <w:lvlJc w:val="left"/>
      <w:pPr>
        <w:ind w:left="720" w:hanging="360"/>
      </w:pPr>
      <w:rPr>
        <w:rFonts w:ascii="Symbol" w:hAnsi="Symbol" w:hint="default"/>
        <w:color w:val="00206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B740BC"/>
    <w:multiLevelType w:val="multilevel"/>
    <w:tmpl w:val="4086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780E90"/>
    <w:multiLevelType w:val="multilevel"/>
    <w:tmpl w:val="F0660714"/>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5F5377E"/>
    <w:multiLevelType w:val="hybridMultilevel"/>
    <w:tmpl w:val="3DB23D76"/>
    <w:lvl w:ilvl="0" w:tplc="0C090001">
      <w:start w:val="1"/>
      <w:numFmt w:val="bullet"/>
      <w:lvlText w:val=""/>
      <w:lvlJc w:val="left"/>
      <w:pPr>
        <w:ind w:left="1506" w:hanging="360"/>
      </w:pPr>
      <w:rPr>
        <w:rFonts w:ascii="Symbol" w:hAnsi="Symbol" w:hint="default"/>
      </w:rPr>
    </w:lvl>
    <w:lvl w:ilvl="1" w:tplc="0C090003" w:tentative="1">
      <w:start w:val="1"/>
      <w:numFmt w:val="bullet"/>
      <w:lvlText w:val="o"/>
      <w:lvlJc w:val="left"/>
      <w:pPr>
        <w:ind w:left="2226" w:hanging="360"/>
      </w:pPr>
      <w:rPr>
        <w:rFonts w:ascii="Courier New" w:hAnsi="Courier New" w:cs="Courier New" w:hint="default"/>
      </w:rPr>
    </w:lvl>
    <w:lvl w:ilvl="2" w:tplc="0C090005" w:tentative="1">
      <w:start w:val="1"/>
      <w:numFmt w:val="bullet"/>
      <w:lvlText w:val=""/>
      <w:lvlJc w:val="left"/>
      <w:pPr>
        <w:ind w:left="2946" w:hanging="360"/>
      </w:pPr>
      <w:rPr>
        <w:rFonts w:ascii="Wingdings" w:hAnsi="Wingdings" w:hint="default"/>
      </w:rPr>
    </w:lvl>
    <w:lvl w:ilvl="3" w:tplc="0C090001" w:tentative="1">
      <w:start w:val="1"/>
      <w:numFmt w:val="bullet"/>
      <w:lvlText w:val=""/>
      <w:lvlJc w:val="left"/>
      <w:pPr>
        <w:ind w:left="3666" w:hanging="360"/>
      </w:pPr>
      <w:rPr>
        <w:rFonts w:ascii="Symbol" w:hAnsi="Symbol" w:hint="default"/>
      </w:rPr>
    </w:lvl>
    <w:lvl w:ilvl="4" w:tplc="0C090003" w:tentative="1">
      <w:start w:val="1"/>
      <w:numFmt w:val="bullet"/>
      <w:lvlText w:val="o"/>
      <w:lvlJc w:val="left"/>
      <w:pPr>
        <w:ind w:left="4386" w:hanging="360"/>
      </w:pPr>
      <w:rPr>
        <w:rFonts w:ascii="Courier New" w:hAnsi="Courier New" w:cs="Courier New" w:hint="default"/>
      </w:rPr>
    </w:lvl>
    <w:lvl w:ilvl="5" w:tplc="0C090005" w:tentative="1">
      <w:start w:val="1"/>
      <w:numFmt w:val="bullet"/>
      <w:lvlText w:val=""/>
      <w:lvlJc w:val="left"/>
      <w:pPr>
        <w:ind w:left="5106" w:hanging="360"/>
      </w:pPr>
      <w:rPr>
        <w:rFonts w:ascii="Wingdings" w:hAnsi="Wingdings" w:hint="default"/>
      </w:rPr>
    </w:lvl>
    <w:lvl w:ilvl="6" w:tplc="0C090001" w:tentative="1">
      <w:start w:val="1"/>
      <w:numFmt w:val="bullet"/>
      <w:lvlText w:val=""/>
      <w:lvlJc w:val="left"/>
      <w:pPr>
        <w:ind w:left="5826" w:hanging="360"/>
      </w:pPr>
      <w:rPr>
        <w:rFonts w:ascii="Symbol" w:hAnsi="Symbol" w:hint="default"/>
      </w:rPr>
    </w:lvl>
    <w:lvl w:ilvl="7" w:tplc="0C090003" w:tentative="1">
      <w:start w:val="1"/>
      <w:numFmt w:val="bullet"/>
      <w:lvlText w:val="o"/>
      <w:lvlJc w:val="left"/>
      <w:pPr>
        <w:ind w:left="6546" w:hanging="360"/>
      </w:pPr>
      <w:rPr>
        <w:rFonts w:ascii="Courier New" w:hAnsi="Courier New" w:cs="Courier New" w:hint="default"/>
      </w:rPr>
    </w:lvl>
    <w:lvl w:ilvl="8" w:tplc="0C090005" w:tentative="1">
      <w:start w:val="1"/>
      <w:numFmt w:val="bullet"/>
      <w:lvlText w:val=""/>
      <w:lvlJc w:val="left"/>
      <w:pPr>
        <w:ind w:left="7266" w:hanging="360"/>
      </w:pPr>
      <w:rPr>
        <w:rFonts w:ascii="Wingdings" w:hAnsi="Wingdings" w:hint="default"/>
      </w:rPr>
    </w:lvl>
  </w:abstractNum>
  <w:abstractNum w:abstractNumId="18" w15:restartNumberingAfterBreak="0">
    <w:nsid w:val="3A5C1CC6"/>
    <w:multiLevelType w:val="multilevel"/>
    <w:tmpl w:val="129C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0869AB"/>
    <w:multiLevelType w:val="multilevel"/>
    <w:tmpl w:val="0E34201E"/>
    <w:lvl w:ilvl="0">
      <w:start w:val="5"/>
      <w:numFmt w:val="decimal"/>
      <w:lvlText w:val="%1."/>
      <w:lvlJc w:val="left"/>
      <w:pPr>
        <w:ind w:left="612" w:hanging="612"/>
      </w:pPr>
      <w:rPr>
        <w:rFonts w:hint="default"/>
        <w:b/>
      </w:rPr>
    </w:lvl>
    <w:lvl w:ilvl="1">
      <w:start w:val="3"/>
      <w:numFmt w:val="decimal"/>
      <w:lvlText w:val="%1.%2."/>
      <w:lvlJc w:val="left"/>
      <w:pPr>
        <w:ind w:left="900" w:hanging="720"/>
      </w:pPr>
      <w:rPr>
        <w:rFonts w:hint="default"/>
        <w:b/>
      </w:rPr>
    </w:lvl>
    <w:lvl w:ilvl="2">
      <w:start w:val="2"/>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600" w:hanging="2160"/>
      </w:pPr>
      <w:rPr>
        <w:rFonts w:hint="default"/>
        <w:b/>
      </w:rPr>
    </w:lvl>
  </w:abstractNum>
  <w:abstractNum w:abstractNumId="20" w15:restartNumberingAfterBreak="0">
    <w:nsid w:val="3F56092A"/>
    <w:multiLevelType w:val="hybridMultilevel"/>
    <w:tmpl w:val="186C4438"/>
    <w:lvl w:ilvl="0" w:tplc="3FAC29B2">
      <w:start w:val="80"/>
      <w:numFmt w:val="bullet"/>
      <w:lvlText w:val="-"/>
      <w:lvlJc w:val="left"/>
      <w:pPr>
        <w:ind w:left="1080" w:hanging="360"/>
      </w:pPr>
      <w:rPr>
        <w:rFonts w:ascii="Arial" w:eastAsiaTheme="majorEastAsia"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41535D2C"/>
    <w:multiLevelType w:val="hybridMultilevel"/>
    <w:tmpl w:val="4F747090"/>
    <w:lvl w:ilvl="0" w:tplc="E6B65E60">
      <w:start w:val="36"/>
      <w:numFmt w:val="decimal"/>
      <w:lvlText w:val="%1"/>
      <w:lvlJc w:val="left"/>
      <w:pPr>
        <w:ind w:left="1701" w:hanging="1541"/>
      </w:pPr>
      <w:rPr>
        <w:rFonts w:hint="default"/>
        <w:spacing w:val="0"/>
        <w:w w:val="97"/>
        <w:lang w:val="en-US" w:eastAsia="en-US" w:bidi="ar-SA"/>
      </w:rPr>
    </w:lvl>
    <w:lvl w:ilvl="1" w:tplc="EE82ACE2">
      <w:numFmt w:val="bullet"/>
      <w:lvlText w:val="•"/>
      <w:lvlJc w:val="left"/>
      <w:pPr>
        <w:ind w:left="2612" w:hanging="1541"/>
      </w:pPr>
      <w:rPr>
        <w:rFonts w:hint="default"/>
        <w:lang w:val="en-US" w:eastAsia="en-US" w:bidi="ar-SA"/>
      </w:rPr>
    </w:lvl>
    <w:lvl w:ilvl="2" w:tplc="F90A89D2">
      <w:numFmt w:val="bullet"/>
      <w:lvlText w:val="•"/>
      <w:lvlJc w:val="left"/>
      <w:pPr>
        <w:ind w:left="3525" w:hanging="1541"/>
      </w:pPr>
      <w:rPr>
        <w:rFonts w:hint="default"/>
        <w:lang w:val="en-US" w:eastAsia="en-US" w:bidi="ar-SA"/>
      </w:rPr>
    </w:lvl>
    <w:lvl w:ilvl="3" w:tplc="DA62A448">
      <w:numFmt w:val="bullet"/>
      <w:lvlText w:val="•"/>
      <w:lvlJc w:val="left"/>
      <w:pPr>
        <w:ind w:left="4437" w:hanging="1541"/>
      </w:pPr>
      <w:rPr>
        <w:rFonts w:hint="default"/>
        <w:lang w:val="en-US" w:eastAsia="en-US" w:bidi="ar-SA"/>
      </w:rPr>
    </w:lvl>
    <w:lvl w:ilvl="4" w:tplc="ECCCDF42">
      <w:numFmt w:val="bullet"/>
      <w:lvlText w:val="•"/>
      <w:lvlJc w:val="left"/>
      <w:pPr>
        <w:ind w:left="5350" w:hanging="1541"/>
      </w:pPr>
      <w:rPr>
        <w:rFonts w:hint="default"/>
        <w:lang w:val="en-US" w:eastAsia="en-US" w:bidi="ar-SA"/>
      </w:rPr>
    </w:lvl>
    <w:lvl w:ilvl="5" w:tplc="ABBE304C">
      <w:numFmt w:val="bullet"/>
      <w:lvlText w:val="•"/>
      <w:lvlJc w:val="left"/>
      <w:pPr>
        <w:ind w:left="6263" w:hanging="1541"/>
      </w:pPr>
      <w:rPr>
        <w:rFonts w:hint="default"/>
        <w:lang w:val="en-US" w:eastAsia="en-US" w:bidi="ar-SA"/>
      </w:rPr>
    </w:lvl>
    <w:lvl w:ilvl="6" w:tplc="3064E65C">
      <w:numFmt w:val="bullet"/>
      <w:lvlText w:val="•"/>
      <w:lvlJc w:val="left"/>
      <w:pPr>
        <w:ind w:left="7175" w:hanging="1541"/>
      </w:pPr>
      <w:rPr>
        <w:rFonts w:hint="default"/>
        <w:lang w:val="en-US" w:eastAsia="en-US" w:bidi="ar-SA"/>
      </w:rPr>
    </w:lvl>
    <w:lvl w:ilvl="7" w:tplc="F1C6E81C">
      <w:numFmt w:val="bullet"/>
      <w:lvlText w:val="•"/>
      <w:lvlJc w:val="left"/>
      <w:pPr>
        <w:ind w:left="8088" w:hanging="1541"/>
      </w:pPr>
      <w:rPr>
        <w:rFonts w:hint="default"/>
        <w:lang w:val="en-US" w:eastAsia="en-US" w:bidi="ar-SA"/>
      </w:rPr>
    </w:lvl>
    <w:lvl w:ilvl="8" w:tplc="1368D226">
      <w:numFmt w:val="bullet"/>
      <w:lvlText w:val="•"/>
      <w:lvlJc w:val="left"/>
      <w:pPr>
        <w:ind w:left="9000" w:hanging="1541"/>
      </w:pPr>
      <w:rPr>
        <w:rFonts w:hint="default"/>
        <w:lang w:val="en-US" w:eastAsia="en-US" w:bidi="ar-SA"/>
      </w:rPr>
    </w:lvl>
  </w:abstractNum>
  <w:abstractNum w:abstractNumId="22" w15:restartNumberingAfterBreak="0">
    <w:nsid w:val="41690C5A"/>
    <w:multiLevelType w:val="multilevel"/>
    <w:tmpl w:val="DED2CC6C"/>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19249ED"/>
    <w:multiLevelType w:val="multilevel"/>
    <w:tmpl w:val="BF906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AD434C"/>
    <w:multiLevelType w:val="hybridMultilevel"/>
    <w:tmpl w:val="1E6699CA"/>
    <w:lvl w:ilvl="0" w:tplc="7DAE13AC">
      <w:start w:val="2"/>
      <w:numFmt w:val="bullet"/>
      <w:lvlText w:val="-"/>
      <w:lvlJc w:val="left"/>
      <w:pPr>
        <w:ind w:left="1080" w:hanging="360"/>
      </w:pPr>
      <w:rPr>
        <w:rFonts w:ascii="Arial" w:eastAsiaTheme="majorEastAsia"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45CE3814"/>
    <w:multiLevelType w:val="multilevel"/>
    <w:tmpl w:val="30ACA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2E3503"/>
    <w:multiLevelType w:val="hybridMultilevel"/>
    <w:tmpl w:val="DB2CCDC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D8E5B2A"/>
    <w:multiLevelType w:val="hybridMultilevel"/>
    <w:tmpl w:val="602E2D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270958"/>
    <w:multiLevelType w:val="multilevel"/>
    <w:tmpl w:val="F326788C"/>
    <w:lvl w:ilvl="0">
      <w:start w:val="5"/>
      <w:numFmt w:val="decimal"/>
      <w:lvlText w:val="%1."/>
      <w:lvlJc w:val="left"/>
      <w:pPr>
        <w:ind w:left="612" w:hanging="612"/>
      </w:pPr>
      <w:rPr>
        <w:rFonts w:hint="default"/>
      </w:rPr>
    </w:lvl>
    <w:lvl w:ilvl="1">
      <w:start w:val="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9" w15:restartNumberingAfterBreak="0">
    <w:nsid w:val="62A9283B"/>
    <w:multiLevelType w:val="multilevel"/>
    <w:tmpl w:val="C9007C2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15:restartNumberingAfterBreak="0">
    <w:nsid w:val="62E41CF6"/>
    <w:multiLevelType w:val="hybridMultilevel"/>
    <w:tmpl w:val="73C4B3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637C6B07"/>
    <w:multiLevelType w:val="multilevel"/>
    <w:tmpl w:val="89B8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2D2445"/>
    <w:multiLevelType w:val="multilevel"/>
    <w:tmpl w:val="A600007E"/>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3" w15:restartNumberingAfterBreak="0">
    <w:nsid w:val="676843FA"/>
    <w:multiLevelType w:val="hybridMultilevel"/>
    <w:tmpl w:val="D1FE7A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9DD0454"/>
    <w:multiLevelType w:val="multilevel"/>
    <w:tmpl w:val="75A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CC145C"/>
    <w:multiLevelType w:val="hybridMultilevel"/>
    <w:tmpl w:val="92C406E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7273703B"/>
    <w:multiLevelType w:val="hybridMultilevel"/>
    <w:tmpl w:val="A6188D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87D172C"/>
    <w:multiLevelType w:val="multilevel"/>
    <w:tmpl w:val="5866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CF52C3"/>
    <w:multiLevelType w:val="multilevel"/>
    <w:tmpl w:val="1CAC623C"/>
    <w:lvl w:ilvl="0">
      <w:start w:val="1"/>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9" w15:restartNumberingAfterBreak="0">
    <w:nsid w:val="7E29357C"/>
    <w:multiLevelType w:val="multilevel"/>
    <w:tmpl w:val="11D0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7644018">
    <w:abstractNumId w:val="21"/>
  </w:num>
  <w:num w:numId="2" w16cid:durableId="1308123491">
    <w:abstractNumId w:val="10"/>
  </w:num>
  <w:num w:numId="3" w16cid:durableId="643896541">
    <w:abstractNumId w:val="34"/>
  </w:num>
  <w:num w:numId="4" w16cid:durableId="608977523">
    <w:abstractNumId w:val="12"/>
  </w:num>
  <w:num w:numId="5" w16cid:durableId="248277957">
    <w:abstractNumId w:val="13"/>
  </w:num>
  <w:num w:numId="6" w16cid:durableId="2076196555">
    <w:abstractNumId w:val="11"/>
  </w:num>
  <w:num w:numId="7" w16cid:durableId="712383707">
    <w:abstractNumId w:val="14"/>
  </w:num>
  <w:num w:numId="8" w16cid:durableId="48505440">
    <w:abstractNumId w:val="0"/>
  </w:num>
  <w:num w:numId="9" w16cid:durableId="1780176456">
    <w:abstractNumId w:val="27"/>
  </w:num>
  <w:num w:numId="10" w16cid:durableId="981957699">
    <w:abstractNumId w:val="35"/>
  </w:num>
  <w:num w:numId="11" w16cid:durableId="2039546479">
    <w:abstractNumId w:val="26"/>
  </w:num>
  <w:num w:numId="12" w16cid:durableId="1899168614">
    <w:abstractNumId w:val="2"/>
  </w:num>
  <w:num w:numId="13" w16cid:durableId="1504667189">
    <w:abstractNumId w:val="6"/>
  </w:num>
  <w:num w:numId="14" w16cid:durableId="751849799">
    <w:abstractNumId w:val="33"/>
  </w:num>
  <w:num w:numId="15" w16cid:durableId="842937723">
    <w:abstractNumId w:val="30"/>
  </w:num>
  <w:num w:numId="16" w16cid:durableId="330987706">
    <w:abstractNumId w:val="23"/>
  </w:num>
  <w:num w:numId="17" w16cid:durableId="750542163">
    <w:abstractNumId w:val="15"/>
  </w:num>
  <w:num w:numId="18" w16cid:durableId="2041858137">
    <w:abstractNumId w:val="29"/>
  </w:num>
  <w:num w:numId="19" w16cid:durableId="131220931">
    <w:abstractNumId w:val="20"/>
  </w:num>
  <w:num w:numId="20" w16cid:durableId="2143233418">
    <w:abstractNumId w:val="32"/>
  </w:num>
  <w:num w:numId="21" w16cid:durableId="376856530">
    <w:abstractNumId w:val="17"/>
  </w:num>
  <w:num w:numId="22" w16cid:durableId="69162101">
    <w:abstractNumId w:val="1"/>
  </w:num>
  <w:num w:numId="23" w16cid:durableId="1105809465">
    <w:abstractNumId w:val="25"/>
  </w:num>
  <w:num w:numId="24" w16cid:durableId="1552880372">
    <w:abstractNumId w:val="24"/>
  </w:num>
  <w:num w:numId="25" w16cid:durableId="1974165468">
    <w:abstractNumId w:val="3"/>
  </w:num>
  <w:num w:numId="26" w16cid:durableId="1469780559">
    <w:abstractNumId w:val="4"/>
  </w:num>
  <w:num w:numId="27" w16cid:durableId="1118908895">
    <w:abstractNumId w:val="31"/>
  </w:num>
  <w:num w:numId="28" w16cid:durableId="1436485393">
    <w:abstractNumId w:val="37"/>
  </w:num>
  <w:num w:numId="29" w16cid:durableId="1478456927">
    <w:abstractNumId w:val="36"/>
  </w:num>
  <w:num w:numId="30" w16cid:durableId="1204173704">
    <w:abstractNumId w:val="19"/>
  </w:num>
  <w:num w:numId="31" w16cid:durableId="60755651">
    <w:abstractNumId w:val="28"/>
  </w:num>
  <w:num w:numId="32" w16cid:durableId="410004382">
    <w:abstractNumId w:val="8"/>
  </w:num>
  <w:num w:numId="33" w16cid:durableId="1730764382">
    <w:abstractNumId w:val="22"/>
  </w:num>
  <w:num w:numId="34" w16cid:durableId="1292514742">
    <w:abstractNumId w:val="16"/>
  </w:num>
  <w:num w:numId="35" w16cid:durableId="288240538">
    <w:abstractNumId w:val="16"/>
    <w:lvlOverride w:ilvl="0">
      <w:startOverride w:val="1"/>
    </w:lvlOverride>
    <w:lvlOverride w:ilvl="1">
      <w:startOverride w:val="1"/>
    </w:lvlOverride>
  </w:num>
  <w:num w:numId="36" w16cid:durableId="1705328042">
    <w:abstractNumId w:val="32"/>
    <w:lvlOverride w:ilvl="0">
      <w:startOverride w:val="6"/>
    </w:lvlOverride>
    <w:lvlOverride w:ilvl="1">
      <w:startOverride w:val="1"/>
    </w:lvlOverride>
  </w:num>
  <w:num w:numId="37" w16cid:durableId="1679457365">
    <w:abstractNumId w:val="32"/>
    <w:lvlOverride w:ilvl="0">
      <w:startOverride w:val="6"/>
    </w:lvlOverride>
    <w:lvlOverride w:ilvl="1">
      <w:startOverride w:val="1"/>
    </w:lvlOverride>
  </w:num>
  <w:num w:numId="38" w16cid:durableId="396132010">
    <w:abstractNumId w:val="32"/>
    <w:lvlOverride w:ilvl="0">
      <w:startOverride w:val="6"/>
    </w:lvlOverride>
    <w:lvlOverride w:ilvl="1">
      <w:startOverride w:val="1"/>
    </w:lvlOverride>
  </w:num>
  <w:num w:numId="39" w16cid:durableId="1717512529">
    <w:abstractNumId w:val="5"/>
  </w:num>
  <w:num w:numId="40" w16cid:durableId="273485551">
    <w:abstractNumId w:val="39"/>
  </w:num>
  <w:num w:numId="41" w16cid:durableId="637497947">
    <w:abstractNumId w:val="9"/>
  </w:num>
  <w:num w:numId="42" w16cid:durableId="624049080">
    <w:abstractNumId w:val="7"/>
  </w:num>
  <w:num w:numId="43" w16cid:durableId="25643903">
    <w:abstractNumId w:val="18"/>
  </w:num>
  <w:num w:numId="44" w16cid:durableId="39875270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insDel="0"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92wve9pf2p5eef5x8v29tzdrws5fvzpttd&quot;&gt;EN Oct 2025&lt;record-ids&gt;&lt;item&gt;2188&lt;/item&gt;&lt;item&gt;2299&lt;/item&gt;&lt;item&gt;2405&lt;/item&gt;&lt;item&gt;2584&lt;/item&gt;&lt;item&gt;3611&lt;/item&gt;&lt;item&gt;4022&lt;/item&gt;&lt;item&gt;8021&lt;/item&gt;&lt;item&gt;8258&lt;/item&gt;&lt;item&gt;8665&lt;/item&gt;&lt;item&gt;8759&lt;/item&gt;&lt;item&gt;8792&lt;/item&gt;&lt;item&gt;19939&lt;/item&gt;&lt;item&gt;26951&lt;/item&gt;&lt;item&gt;26952&lt;/item&gt;&lt;item&gt;26988&lt;/item&gt;&lt;item&gt;27053&lt;/item&gt;&lt;item&gt;27100&lt;/item&gt;&lt;item&gt;27331&lt;/item&gt;&lt;item&gt;27837&lt;/item&gt;&lt;item&gt;28878&lt;/item&gt;&lt;item&gt;28880&lt;/item&gt;&lt;item&gt;29017&lt;/item&gt;&lt;item&gt;29076&lt;/item&gt;&lt;item&gt;29115&lt;/item&gt;&lt;item&gt;29134&lt;/item&gt;&lt;item&gt;29175&lt;/item&gt;&lt;item&gt;29176&lt;/item&gt;&lt;item&gt;29203&lt;/item&gt;&lt;item&gt;29212&lt;/item&gt;&lt;item&gt;35263&lt;/item&gt;&lt;item&gt;35471&lt;/item&gt;&lt;item&gt;35473&lt;/item&gt;&lt;item&gt;35592&lt;/item&gt;&lt;item&gt;35749&lt;/item&gt;&lt;item&gt;35976&lt;/item&gt;&lt;item&gt;36180&lt;/item&gt;&lt;item&gt;36198&lt;/item&gt;&lt;item&gt;36213&lt;/item&gt;&lt;item&gt;36217&lt;/item&gt;&lt;item&gt;36218&lt;/item&gt;&lt;item&gt;36232&lt;/item&gt;&lt;item&gt;36371&lt;/item&gt;&lt;item&gt;36421&lt;/item&gt;&lt;item&gt;36452&lt;/item&gt;&lt;item&gt;36491&lt;/item&gt;&lt;item&gt;36513&lt;/item&gt;&lt;item&gt;36545&lt;/item&gt;&lt;item&gt;36552&lt;/item&gt;&lt;item&gt;36556&lt;/item&gt;&lt;item&gt;36588&lt;/item&gt;&lt;item&gt;36594&lt;/item&gt;&lt;item&gt;36596&lt;/item&gt;&lt;item&gt;36613&lt;/item&gt;&lt;item&gt;36618&lt;/item&gt;&lt;item&gt;36649&lt;/item&gt;&lt;item&gt;36651&lt;/item&gt;&lt;item&gt;36653&lt;/item&gt;&lt;item&gt;36696&lt;/item&gt;&lt;item&gt;36697&lt;/item&gt;&lt;/record-ids&gt;&lt;/item&gt;&lt;/Libraries&gt;"/>
  </w:docVars>
  <w:rsids>
    <w:rsidRoot w:val="00957CD8"/>
    <w:rsid w:val="000027C6"/>
    <w:rsid w:val="00003416"/>
    <w:rsid w:val="0000691F"/>
    <w:rsid w:val="00010BCF"/>
    <w:rsid w:val="0001137D"/>
    <w:rsid w:val="00012554"/>
    <w:rsid w:val="00017F29"/>
    <w:rsid w:val="00022199"/>
    <w:rsid w:val="00022392"/>
    <w:rsid w:val="00023037"/>
    <w:rsid w:val="00025CEB"/>
    <w:rsid w:val="00026715"/>
    <w:rsid w:val="00032900"/>
    <w:rsid w:val="00033348"/>
    <w:rsid w:val="00041673"/>
    <w:rsid w:val="00052E2B"/>
    <w:rsid w:val="00054918"/>
    <w:rsid w:val="0006240C"/>
    <w:rsid w:val="000712E4"/>
    <w:rsid w:val="000927F3"/>
    <w:rsid w:val="00096144"/>
    <w:rsid w:val="000A0203"/>
    <w:rsid w:val="000A2473"/>
    <w:rsid w:val="000A2AAF"/>
    <w:rsid w:val="000A33D6"/>
    <w:rsid w:val="000A48B6"/>
    <w:rsid w:val="000A7452"/>
    <w:rsid w:val="000B0CA6"/>
    <w:rsid w:val="000B1E7E"/>
    <w:rsid w:val="000B49B0"/>
    <w:rsid w:val="000C0268"/>
    <w:rsid w:val="000C0AA3"/>
    <w:rsid w:val="000C512F"/>
    <w:rsid w:val="000C6D57"/>
    <w:rsid w:val="000D4431"/>
    <w:rsid w:val="000D7CC0"/>
    <w:rsid w:val="000D7DE8"/>
    <w:rsid w:val="000E0698"/>
    <w:rsid w:val="000E1068"/>
    <w:rsid w:val="000E412D"/>
    <w:rsid w:val="000E6552"/>
    <w:rsid w:val="000F1432"/>
    <w:rsid w:val="000F6D38"/>
    <w:rsid w:val="000F721A"/>
    <w:rsid w:val="000F7B40"/>
    <w:rsid w:val="00106173"/>
    <w:rsid w:val="001063FC"/>
    <w:rsid w:val="0011073A"/>
    <w:rsid w:val="0011191F"/>
    <w:rsid w:val="00111DEF"/>
    <w:rsid w:val="001137B2"/>
    <w:rsid w:val="00115E5D"/>
    <w:rsid w:val="001171C3"/>
    <w:rsid w:val="0012369F"/>
    <w:rsid w:val="00124DE9"/>
    <w:rsid w:val="0013423F"/>
    <w:rsid w:val="00146E08"/>
    <w:rsid w:val="001477D1"/>
    <w:rsid w:val="001542C4"/>
    <w:rsid w:val="00157CF0"/>
    <w:rsid w:val="00160042"/>
    <w:rsid w:val="00160CA8"/>
    <w:rsid w:val="00164028"/>
    <w:rsid w:val="001656D4"/>
    <w:rsid w:val="0016676E"/>
    <w:rsid w:val="0017341F"/>
    <w:rsid w:val="0018151A"/>
    <w:rsid w:val="001902D0"/>
    <w:rsid w:val="00192A6B"/>
    <w:rsid w:val="001933C8"/>
    <w:rsid w:val="00194CA1"/>
    <w:rsid w:val="001A528D"/>
    <w:rsid w:val="001A5F9E"/>
    <w:rsid w:val="001B189D"/>
    <w:rsid w:val="001B42C0"/>
    <w:rsid w:val="001C04B5"/>
    <w:rsid w:val="001C0681"/>
    <w:rsid w:val="001C09D1"/>
    <w:rsid w:val="001C0F64"/>
    <w:rsid w:val="001C581C"/>
    <w:rsid w:val="001C6B60"/>
    <w:rsid w:val="001D3226"/>
    <w:rsid w:val="001D42E9"/>
    <w:rsid w:val="001D7EEB"/>
    <w:rsid w:val="001E2051"/>
    <w:rsid w:val="001E6AEB"/>
    <w:rsid w:val="001F1570"/>
    <w:rsid w:val="001F5E4E"/>
    <w:rsid w:val="001F605A"/>
    <w:rsid w:val="002018FC"/>
    <w:rsid w:val="00210DA7"/>
    <w:rsid w:val="00216FCA"/>
    <w:rsid w:val="0022007E"/>
    <w:rsid w:val="0022053F"/>
    <w:rsid w:val="00225496"/>
    <w:rsid w:val="0023163A"/>
    <w:rsid w:val="00244A5F"/>
    <w:rsid w:val="002537B1"/>
    <w:rsid w:val="00254BCD"/>
    <w:rsid w:val="0026261B"/>
    <w:rsid w:val="00274CF0"/>
    <w:rsid w:val="0028278E"/>
    <w:rsid w:val="002852CF"/>
    <w:rsid w:val="00291A5C"/>
    <w:rsid w:val="00293189"/>
    <w:rsid w:val="002A3AEB"/>
    <w:rsid w:val="002A4379"/>
    <w:rsid w:val="002B540F"/>
    <w:rsid w:val="002B7001"/>
    <w:rsid w:val="002B7E64"/>
    <w:rsid w:val="002C4559"/>
    <w:rsid w:val="002C5A25"/>
    <w:rsid w:val="002C6E4E"/>
    <w:rsid w:val="002C76EB"/>
    <w:rsid w:val="002E4C80"/>
    <w:rsid w:val="002E5B18"/>
    <w:rsid w:val="002F11B8"/>
    <w:rsid w:val="002F4CDF"/>
    <w:rsid w:val="002F6C7D"/>
    <w:rsid w:val="00301BB3"/>
    <w:rsid w:val="00304C6D"/>
    <w:rsid w:val="003072F0"/>
    <w:rsid w:val="00310673"/>
    <w:rsid w:val="00317A9F"/>
    <w:rsid w:val="00321B2E"/>
    <w:rsid w:val="00326524"/>
    <w:rsid w:val="00335241"/>
    <w:rsid w:val="00337BDC"/>
    <w:rsid w:val="00345A42"/>
    <w:rsid w:val="003471AE"/>
    <w:rsid w:val="00352C76"/>
    <w:rsid w:val="00356880"/>
    <w:rsid w:val="003608F1"/>
    <w:rsid w:val="00364460"/>
    <w:rsid w:val="00364D0C"/>
    <w:rsid w:val="003978C2"/>
    <w:rsid w:val="003A3667"/>
    <w:rsid w:val="003A4F2B"/>
    <w:rsid w:val="003A6DDC"/>
    <w:rsid w:val="003C37B9"/>
    <w:rsid w:val="003C4BD9"/>
    <w:rsid w:val="003C7985"/>
    <w:rsid w:val="003E0CD7"/>
    <w:rsid w:val="003E6142"/>
    <w:rsid w:val="003F2AC3"/>
    <w:rsid w:val="003F2EB5"/>
    <w:rsid w:val="0040419E"/>
    <w:rsid w:val="00410B6C"/>
    <w:rsid w:val="00411DE5"/>
    <w:rsid w:val="004123F4"/>
    <w:rsid w:val="00415437"/>
    <w:rsid w:val="00416AA0"/>
    <w:rsid w:val="0041736B"/>
    <w:rsid w:val="0042004A"/>
    <w:rsid w:val="004260E3"/>
    <w:rsid w:val="004270D8"/>
    <w:rsid w:val="0043263D"/>
    <w:rsid w:val="0043437F"/>
    <w:rsid w:val="00441C9E"/>
    <w:rsid w:val="00452A43"/>
    <w:rsid w:val="00453B44"/>
    <w:rsid w:val="00455B62"/>
    <w:rsid w:val="00457801"/>
    <w:rsid w:val="0046300E"/>
    <w:rsid w:val="0047007C"/>
    <w:rsid w:val="00475B6B"/>
    <w:rsid w:val="00490362"/>
    <w:rsid w:val="00491A2D"/>
    <w:rsid w:val="004920B0"/>
    <w:rsid w:val="00492DE5"/>
    <w:rsid w:val="004A2439"/>
    <w:rsid w:val="004A4ECE"/>
    <w:rsid w:val="004A4FAA"/>
    <w:rsid w:val="004B1006"/>
    <w:rsid w:val="004B279B"/>
    <w:rsid w:val="004B377F"/>
    <w:rsid w:val="004B44E3"/>
    <w:rsid w:val="004C20ED"/>
    <w:rsid w:val="004E015F"/>
    <w:rsid w:val="004E1C69"/>
    <w:rsid w:val="004E4397"/>
    <w:rsid w:val="004F35BB"/>
    <w:rsid w:val="004F789A"/>
    <w:rsid w:val="004F7BD6"/>
    <w:rsid w:val="00500AB8"/>
    <w:rsid w:val="005026E1"/>
    <w:rsid w:val="00504913"/>
    <w:rsid w:val="00507921"/>
    <w:rsid w:val="00510034"/>
    <w:rsid w:val="00510A45"/>
    <w:rsid w:val="005162FA"/>
    <w:rsid w:val="00520CF0"/>
    <w:rsid w:val="00521158"/>
    <w:rsid w:val="00521C91"/>
    <w:rsid w:val="00524A5D"/>
    <w:rsid w:val="00525140"/>
    <w:rsid w:val="00534B92"/>
    <w:rsid w:val="00540407"/>
    <w:rsid w:val="00542B2E"/>
    <w:rsid w:val="005449B3"/>
    <w:rsid w:val="0055070B"/>
    <w:rsid w:val="005517C2"/>
    <w:rsid w:val="00552685"/>
    <w:rsid w:val="00552E4A"/>
    <w:rsid w:val="00561379"/>
    <w:rsid w:val="00561ACE"/>
    <w:rsid w:val="00567C6D"/>
    <w:rsid w:val="00571CF2"/>
    <w:rsid w:val="00585A3F"/>
    <w:rsid w:val="00586664"/>
    <w:rsid w:val="005969DA"/>
    <w:rsid w:val="005A00CC"/>
    <w:rsid w:val="005A0D32"/>
    <w:rsid w:val="005A2741"/>
    <w:rsid w:val="005A46C9"/>
    <w:rsid w:val="005A72F3"/>
    <w:rsid w:val="005A7EFD"/>
    <w:rsid w:val="005B1E54"/>
    <w:rsid w:val="005B3BC1"/>
    <w:rsid w:val="005B57A0"/>
    <w:rsid w:val="005B78ED"/>
    <w:rsid w:val="005C1481"/>
    <w:rsid w:val="005C3EA7"/>
    <w:rsid w:val="005D0825"/>
    <w:rsid w:val="005D3DCB"/>
    <w:rsid w:val="005D62D2"/>
    <w:rsid w:val="005D6463"/>
    <w:rsid w:val="005E3559"/>
    <w:rsid w:val="005E7BCB"/>
    <w:rsid w:val="005F1A65"/>
    <w:rsid w:val="0061140F"/>
    <w:rsid w:val="00611926"/>
    <w:rsid w:val="00611DCB"/>
    <w:rsid w:val="00613FE2"/>
    <w:rsid w:val="00617881"/>
    <w:rsid w:val="0062624B"/>
    <w:rsid w:val="00627EF9"/>
    <w:rsid w:val="00631917"/>
    <w:rsid w:val="0063636E"/>
    <w:rsid w:val="006374FF"/>
    <w:rsid w:val="00647F62"/>
    <w:rsid w:val="00655DE1"/>
    <w:rsid w:val="00664F5E"/>
    <w:rsid w:val="006650B9"/>
    <w:rsid w:val="00681518"/>
    <w:rsid w:val="00684175"/>
    <w:rsid w:val="00693EF6"/>
    <w:rsid w:val="00694008"/>
    <w:rsid w:val="006963B2"/>
    <w:rsid w:val="006A1733"/>
    <w:rsid w:val="006A2F20"/>
    <w:rsid w:val="006A323B"/>
    <w:rsid w:val="006A6FA5"/>
    <w:rsid w:val="006A7983"/>
    <w:rsid w:val="006B0053"/>
    <w:rsid w:val="006B2F6E"/>
    <w:rsid w:val="006C05A4"/>
    <w:rsid w:val="006C0B73"/>
    <w:rsid w:val="006D080E"/>
    <w:rsid w:val="006E15D1"/>
    <w:rsid w:val="006E3EAD"/>
    <w:rsid w:val="006E5C17"/>
    <w:rsid w:val="006E767F"/>
    <w:rsid w:val="006F48CE"/>
    <w:rsid w:val="007108D4"/>
    <w:rsid w:val="00715929"/>
    <w:rsid w:val="007232C8"/>
    <w:rsid w:val="007307C2"/>
    <w:rsid w:val="00731E84"/>
    <w:rsid w:val="00735841"/>
    <w:rsid w:val="00745A45"/>
    <w:rsid w:val="00747889"/>
    <w:rsid w:val="00752D4B"/>
    <w:rsid w:val="00753DD2"/>
    <w:rsid w:val="007544E6"/>
    <w:rsid w:val="00762D28"/>
    <w:rsid w:val="007715EE"/>
    <w:rsid w:val="00773B5F"/>
    <w:rsid w:val="00776B87"/>
    <w:rsid w:val="007856A5"/>
    <w:rsid w:val="007909A6"/>
    <w:rsid w:val="00797338"/>
    <w:rsid w:val="007A5334"/>
    <w:rsid w:val="007A5F2F"/>
    <w:rsid w:val="007B1DC0"/>
    <w:rsid w:val="007B353A"/>
    <w:rsid w:val="007B748A"/>
    <w:rsid w:val="007C39A1"/>
    <w:rsid w:val="007C5B09"/>
    <w:rsid w:val="007C65C4"/>
    <w:rsid w:val="007C7637"/>
    <w:rsid w:val="007C7F1E"/>
    <w:rsid w:val="007F1523"/>
    <w:rsid w:val="007F5F25"/>
    <w:rsid w:val="007F6451"/>
    <w:rsid w:val="00804033"/>
    <w:rsid w:val="008055B4"/>
    <w:rsid w:val="00812D16"/>
    <w:rsid w:val="008143CC"/>
    <w:rsid w:val="0081509C"/>
    <w:rsid w:val="00815596"/>
    <w:rsid w:val="00822530"/>
    <w:rsid w:val="0082544D"/>
    <w:rsid w:val="0083085C"/>
    <w:rsid w:val="0083355C"/>
    <w:rsid w:val="008342DE"/>
    <w:rsid w:val="00837C7F"/>
    <w:rsid w:val="0084167E"/>
    <w:rsid w:val="0084347D"/>
    <w:rsid w:val="00845FFA"/>
    <w:rsid w:val="00856A8B"/>
    <w:rsid w:val="0086323C"/>
    <w:rsid w:val="00880A0D"/>
    <w:rsid w:val="008850C6"/>
    <w:rsid w:val="00894135"/>
    <w:rsid w:val="008A0EE2"/>
    <w:rsid w:val="008A3369"/>
    <w:rsid w:val="008A35CA"/>
    <w:rsid w:val="008B2D8A"/>
    <w:rsid w:val="008C39E3"/>
    <w:rsid w:val="008D5CF8"/>
    <w:rsid w:val="008D7069"/>
    <w:rsid w:val="008E0BB0"/>
    <w:rsid w:val="008E787B"/>
    <w:rsid w:val="008F1607"/>
    <w:rsid w:val="008F67BD"/>
    <w:rsid w:val="00900AF1"/>
    <w:rsid w:val="009042A5"/>
    <w:rsid w:val="009045EE"/>
    <w:rsid w:val="00904968"/>
    <w:rsid w:val="00904AAB"/>
    <w:rsid w:val="009061BA"/>
    <w:rsid w:val="00912C4C"/>
    <w:rsid w:val="009161EE"/>
    <w:rsid w:val="00921EE2"/>
    <w:rsid w:val="00924EBB"/>
    <w:rsid w:val="009261B6"/>
    <w:rsid w:val="00940F62"/>
    <w:rsid w:val="009465D2"/>
    <w:rsid w:val="00946A75"/>
    <w:rsid w:val="00955506"/>
    <w:rsid w:val="00957CD8"/>
    <w:rsid w:val="0096374C"/>
    <w:rsid w:val="00965BB7"/>
    <w:rsid w:val="00966858"/>
    <w:rsid w:val="00971526"/>
    <w:rsid w:val="00976591"/>
    <w:rsid w:val="00981A15"/>
    <w:rsid w:val="00981A38"/>
    <w:rsid w:val="0098718C"/>
    <w:rsid w:val="00990F82"/>
    <w:rsid w:val="009B33DE"/>
    <w:rsid w:val="009B7BD9"/>
    <w:rsid w:val="009D1E5C"/>
    <w:rsid w:val="009E0276"/>
    <w:rsid w:val="009E032D"/>
    <w:rsid w:val="009E295B"/>
    <w:rsid w:val="009E3F7B"/>
    <w:rsid w:val="009E7447"/>
    <w:rsid w:val="009F254D"/>
    <w:rsid w:val="009F3BED"/>
    <w:rsid w:val="009F71FF"/>
    <w:rsid w:val="00A02446"/>
    <w:rsid w:val="00A051AB"/>
    <w:rsid w:val="00A13DA5"/>
    <w:rsid w:val="00A14B21"/>
    <w:rsid w:val="00A205D7"/>
    <w:rsid w:val="00A20780"/>
    <w:rsid w:val="00A21D15"/>
    <w:rsid w:val="00A22E42"/>
    <w:rsid w:val="00A26D4A"/>
    <w:rsid w:val="00A26FBD"/>
    <w:rsid w:val="00A34641"/>
    <w:rsid w:val="00A346A8"/>
    <w:rsid w:val="00A41C30"/>
    <w:rsid w:val="00A46781"/>
    <w:rsid w:val="00A54C23"/>
    <w:rsid w:val="00A638A5"/>
    <w:rsid w:val="00A76312"/>
    <w:rsid w:val="00A80A44"/>
    <w:rsid w:val="00A82F5D"/>
    <w:rsid w:val="00A94AA5"/>
    <w:rsid w:val="00A953CE"/>
    <w:rsid w:val="00AA3562"/>
    <w:rsid w:val="00AA36DC"/>
    <w:rsid w:val="00AA58D0"/>
    <w:rsid w:val="00AA74DB"/>
    <w:rsid w:val="00AB2742"/>
    <w:rsid w:val="00AB7923"/>
    <w:rsid w:val="00AB7CBD"/>
    <w:rsid w:val="00AC1860"/>
    <w:rsid w:val="00AC2422"/>
    <w:rsid w:val="00AC710F"/>
    <w:rsid w:val="00AE1227"/>
    <w:rsid w:val="00AE5392"/>
    <w:rsid w:val="00AE7057"/>
    <w:rsid w:val="00B10C12"/>
    <w:rsid w:val="00B116AC"/>
    <w:rsid w:val="00B13C55"/>
    <w:rsid w:val="00B14317"/>
    <w:rsid w:val="00B151A3"/>
    <w:rsid w:val="00B15E8E"/>
    <w:rsid w:val="00B17D8F"/>
    <w:rsid w:val="00B30D6E"/>
    <w:rsid w:val="00B3232B"/>
    <w:rsid w:val="00B41A17"/>
    <w:rsid w:val="00B41E50"/>
    <w:rsid w:val="00B42AE8"/>
    <w:rsid w:val="00B5243D"/>
    <w:rsid w:val="00B52C4D"/>
    <w:rsid w:val="00B54A88"/>
    <w:rsid w:val="00B569AC"/>
    <w:rsid w:val="00B647E0"/>
    <w:rsid w:val="00B67130"/>
    <w:rsid w:val="00B67E65"/>
    <w:rsid w:val="00B81F65"/>
    <w:rsid w:val="00B82111"/>
    <w:rsid w:val="00B8258D"/>
    <w:rsid w:val="00B825D8"/>
    <w:rsid w:val="00B9076C"/>
    <w:rsid w:val="00B961F8"/>
    <w:rsid w:val="00BA1993"/>
    <w:rsid w:val="00BA1C78"/>
    <w:rsid w:val="00BA4464"/>
    <w:rsid w:val="00BA6789"/>
    <w:rsid w:val="00BA6B12"/>
    <w:rsid w:val="00BB7112"/>
    <w:rsid w:val="00BC21D0"/>
    <w:rsid w:val="00BD2599"/>
    <w:rsid w:val="00BD4982"/>
    <w:rsid w:val="00BE0871"/>
    <w:rsid w:val="00BE1F7E"/>
    <w:rsid w:val="00BE4804"/>
    <w:rsid w:val="00BE5783"/>
    <w:rsid w:val="00BE5DB9"/>
    <w:rsid w:val="00BF0068"/>
    <w:rsid w:val="00BF145A"/>
    <w:rsid w:val="00BF58BC"/>
    <w:rsid w:val="00C00E34"/>
    <w:rsid w:val="00C05F4E"/>
    <w:rsid w:val="00C15B18"/>
    <w:rsid w:val="00C1685C"/>
    <w:rsid w:val="00C22079"/>
    <w:rsid w:val="00C23AEF"/>
    <w:rsid w:val="00C24A30"/>
    <w:rsid w:val="00C26D35"/>
    <w:rsid w:val="00C276A6"/>
    <w:rsid w:val="00C329C7"/>
    <w:rsid w:val="00C35241"/>
    <w:rsid w:val="00C37420"/>
    <w:rsid w:val="00C419B9"/>
    <w:rsid w:val="00C53535"/>
    <w:rsid w:val="00C55300"/>
    <w:rsid w:val="00C5615D"/>
    <w:rsid w:val="00C6014F"/>
    <w:rsid w:val="00C63CE3"/>
    <w:rsid w:val="00C64FB5"/>
    <w:rsid w:val="00C650CC"/>
    <w:rsid w:val="00C72B85"/>
    <w:rsid w:val="00C72BAE"/>
    <w:rsid w:val="00C8417F"/>
    <w:rsid w:val="00C85636"/>
    <w:rsid w:val="00C942D1"/>
    <w:rsid w:val="00C97E18"/>
    <w:rsid w:val="00CA34F4"/>
    <w:rsid w:val="00CA4C96"/>
    <w:rsid w:val="00CA532D"/>
    <w:rsid w:val="00CA65B2"/>
    <w:rsid w:val="00CC6554"/>
    <w:rsid w:val="00CC6859"/>
    <w:rsid w:val="00CC6D4D"/>
    <w:rsid w:val="00CD50DD"/>
    <w:rsid w:val="00CE39A4"/>
    <w:rsid w:val="00CE3D10"/>
    <w:rsid w:val="00CE5B33"/>
    <w:rsid w:val="00CE75F1"/>
    <w:rsid w:val="00CF0074"/>
    <w:rsid w:val="00D016B5"/>
    <w:rsid w:val="00D02CAD"/>
    <w:rsid w:val="00D05121"/>
    <w:rsid w:val="00D13AEC"/>
    <w:rsid w:val="00D17D2A"/>
    <w:rsid w:val="00D20256"/>
    <w:rsid w:val="00D2068B"/>
    <w:rsid w:val="00D22A1C"/>
    <w:rsid w:val="00D258F0"/>
    <w:rsid w:val="00D304E7"/>
    <w:rsid w:val="00D3371C"/>
    <w:rsid w:val="00D41DA5"/>
    <w:rsid w:val="00D4252D"/>
    <w:rsid w:val="00D47799"/>
    <w:rsid w:val="00D5091E"/>
    <w:rsid w:val="00D53538"/>
    <w:rsid w:val="00D5477F"/>
    <w:rsid w:val="00D55BCC"/>
    <w:rsid w:val="00D60320"/>
    <w:rsid w:val="00D615A6"/>
    <w:rsid w:val="00D62B3C"/>
    <w:rsid w:val="00D6697B"/>
    <w:rsid w:val="00D67395"/>
    <w:rsid w:val="00D71930"/>
    <w:rsid w:val="00D84176"/>
    <w:rsid w:val="00D86E77"/>
    <w:rsid w:val="00DA27E0"/>
    <w:rsid w:val="00DA3160"/>
    <w:rsid w:val="00DA659B"/>
    <w:rsid w:val="00DA6836"/>
    <w:rsid w:val="00DA7A6F"/>
    <w:rsid w:val="00DB0B5F"/>
    <w:rsid w:val="00DB292B"/>
    <w:rsid w:val="00DB3341"/>
    <w:rsid w:val="00DB4CE2"/>
    <w:rsid w:val="00DB655F"/>
    <w:rsid w:val="00DC2B21"/>
    <w:rsid w:val="00DC3CC5"/>
    <w:rsid w:val="00DD0752"/>
    <w:rsid w:val="00DD1DD0"/>
    <w:rsid w:val="00DD6590"/>
    <w:rsid w:val="00DE2393"/>
    <w:rsid w:val="00DE54B7"/>
    <w:rsid w:val="00DE68E1"/>
    <w:rsid w:val="00DF431F"/>
    <w:rsid w:val="00DF59D3"/>
    <w:rsid w:val="00DF709F"/>
    <w:rsid w:val="00E0776C"/>
    <w:rsid w:val="00E172C7"/>
    <w:rsid w:val="00E2459D"/>
    <w:rsid w:val="00E351AA"/>
    <w:rsid w:val="00E361F1"/>
    <w:rsid w:val="00E364CD"/>
    <w:rsid w:val="00E47D78"/>
    <w:rsid w:val="00E55D7B"/>
    <w:rsid w:val="00E62007"/>
    <w:rsid w:val="00E642A8"/>
    <w:rsid w:val="00E73947"/>
    <w:rsid w:val="00E75664"/>
    <w:rsid w:val="00E76F9A"/>
    <w:rsid w:val="00E81D09"/>
    <w:rsid w:val="00E84AA9"/>
    <w:rsid w:val="00E96398"/>
    <w:rsid w:val="00EA64BE"/>
    <w:rsid w:val="00EB4668"/>
    <w:rsid w:val="00EB717E"/>
    <w:rsid w:val="00EC3E80"/>
    <w:rsid w:val="00ED086D"/>
    <w:rsid w:val="00ED3060"/>
    <w:rsid w:val="00EE355E"/>
    <w:rsid w:val="00EE6001"/>
    <w:rsid w:val="00EF3AF1"/>
    <w:rsid w:val="00EF50F0"/>
    <w:rsid w:val="00EF6724"/>
    <w:rsid w:val="00EF6A00"/>
    <w:rsid w:val="00EF73F3"/>
    <w:rsid w:val="00EF7BF0"/>
    <w:rsid w:val="00F015A1"/>
    <w:rsid w:val="00F06D99"/>
    <w:rsid w:val="00F1249A"/>
    <w:rsid w:val="00F13A41"/>
    <w:rsid w:val="00F14999"/>
    <w:rsid w:val="00F17101"/>
    <w:rsid w:val="00F21C92"/>
    <w:rsid w:val="00F24073"/>
    <w:rsid w:val="00F2412E"/>
    <w:rsid w:val="00F24342"/>
    <w:rsid w:val="00F3402A"/>
    <w:rsid w:val="00F36D9F"/>
    <w:rsid w:val="00F4178C"/>
    <w:rsid w:val="00F435A7"/>
    <w:rsid w:val="00F43875"/>
    <w:rsid w:val="00F45CEF"/>
    <w:rsid w:val="00F45DF1"/>
    <w:rsid w:val="00F46F3F"/>
    <w:rsid w:val="00F70EE0"/>
    <w:rsid w:val="00F87485"/>
    <w:rsid w:val="00F91189"/>
    <w:rsid w:val="00F97495"/>
    <w:rsid w:val="00FB0443"/>
    <w:rsid w:val="00FB3DD8"/>
    <w:rsid w:val="00FB6228"/>
    <w:rsid w:val="00FC1152"/>
    <w:rsid w:val="00FC159B"/>
    <w:rsid w:val="00FC474D"/>
    <w:rsid w:val="00FC6686"/>
    <w:rsid w:val="00FC6913"/>
    <w:rsid w:val="00FD6559"/>
    <w:rsid w:val="00FE0AA5"/>
    <w:rsid w:val="00FE0C6A"/>
    <w:rsid w:val="00FE0E5D"/>
    <w:rsid w:val="00FE319C"/>
    <w:rsid w:val="00FE68C9"/>
    <w:rsid w:val="00FF0DDD"/>
    <w:rsid w:val="00FF30BD"/>
    <w:rsid w:val="00FF60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3495"/>
  <w15:chartTrackingRefBased/>
  <w15:docId w15:val="{A0D2635F-266E-42C7-8DBA-A9337CAD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B60"/>
    <w:pPr>
      <w:spacing w:after="0" w:line="480" w:lineRule="auto"/>
      <w:ind w:firstLine="720"/>
    </w:pPr>
    <w:rPr>
      <w:rFonts w:ascii="Arial" w:hAnsi="Arial"/>
    </w:rPr>
  </w:style>
  <w:style w:type="paragraph" w:styleId="Heading1">
    <w:name w:val="heading 1"/>
    <w:basedOn w:val="Normal"/>
    <w:next w:val="Normal"/>
    <w:link w:val="Heading1Char"/>
    <w:uiPriority w:val="9"/>
    <w:qFormat/>
    <w:rsid w:val="00957C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7C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57C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57C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957CD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957CD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957CD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7CD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7CD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normal">
    <w:name w:val="APA normal"/>
    <w:basedOn w:val="ListParagraph"/>
    <w:link w:val="APAnormalChar"/>
    <w:autoRedefine/>
    <w:qFormat/>
    <w:rsid w:val="0081509C"/>
    <w:pPr>
      <w:widowControl w:val="0"/>
      <w:tabs>
        <w:tab w:val="left" w:pos="1700"/>
      </w:tabs>
      <w:autoSpaceDE w:val="0"/>
      <w:autoSpaceDN w:val="0"/>
      <w:ind w:left="0"/>
      <w:contextualSpacing w:val="0"/>
    </w:pPr>
    <w:rPr>
      <w:rFonts w:cs="Arial"/>
      <w:position w:val="1"/>
    </w:rPr>
  </w:style>
  <w:style w:type="character" w:customStyle="1" w:styleId="APAnormalChar">
    <w:name w:val="APA normal Char"/>
    <w:basedOn w:val="DefaultParagraphFont"/>
    <w:link w:val="APAnormal"/>
    <w:rsid w:val="0081509C"/>
    <w:rPr>
      <w:rFonts w:ascii="Arial" w:hAnsi="Arial" w:cs="Arial"/>
      <w:position w:val="1"/>
    </w:rPr>
  </w:style>
  <w:style w:type="paragraph" w:styleId="ListParagraph">
    <w:name w:val="List Paragraph"/>
    <w:basedOn w:val="Normal"/>
    <w:uiPriority w:val="1"/>
    <w:qFormat/>
    <w:rsid w:val="0081509C"/>
    <w:pPr>
      <w:ind w:left="720"/>
      <w:contextualSpacing/>
    </w:pPr>
  </w:style>
  <w:style w:type="paragraph" w:customStyle="1" w:styleId="APANormal0">
    <w:name w:val="APA Normal"/>
    <w:basedOn w:val="APAnormal"/>
    <w:link w:val="APANormalChar0"/>
    <w:autoRedefine/>
    <w:qFormat/>
    <w:rsid w:val="0081509C"/>
    <w:rPr>
      <w:b/>
    </w:rPr>
  </w:style>
  <w:style w:type="character" w:customStyle="1" w:styleId="APANormalChar0">
    <w:name w:val="APA Normal Char"/>
    <w:basedOn w:val="APAnormalChar"/>
    <w:link w:val="APANormal0"/>
    <w:rsid w:val="0081509C"/>
    <w:rPr>
      <w:rFonts w:ascii="Arial" w:hAnsi="Arial" w:cs="Arial"/>
      <w:b/>
      <w:position w:val="1"/>
    </w:rPr>
  </w:style>
  <w:style w:type="paragraph" w:customStyle="1" w:styleId="APANormalnoindent">
    <w:name w:val="APA Normal no indent"/>
    <w:basedOn w:val="APANormal0"/>
    <w:link w:val="APANormalnoindentChar"/>
    <w:autoRedefine/>
    <w:qFormat/>
    <w:rsid w:val="0081509C"/>
    <w:pPr>
      <w:ind w:firstLine="0"/>
    </w:pPr>
    <w:rPr>
      <w:b w:val="0"/>
    </w:rPr>
  </w:style>
  <w:style w:type="character" w:customStyle="1" w:styleId="APANormalnoindentChar">
    <w:name w:val="APA Normal no indent Char"/>
    <w:basedOn w:val="APANormalChar0"/>
    <w:link w:val="APANormalnoindent"/>
    <w:rsid w:val="0081509C"/>
    <w:rPr>
      <w:rFonts w:ascii="Arial" w:hAnsi="Arial" w:cs="Arial"/>
      <w:b w:val="0"/>
      <w:position w:val="1"/>
    </w:rPr>
  </w:style>
  <w:style w:type="paragraph" w:customStyle="1" w:styleId="APAH1">
    <w:name w:val="APA H1"/>
    <w:basedOn w:val="Normal"/>
    <w:link w:val="APAH1Char"/>
    <w:autoRedefine/>
    <w:qFormat/>
    <w:rsid w:val="0081509C"/>
    <w:pPr>
      <w:jc w:val="center"/>
    </w:pPr>
    <w:rPr>
      <w:rFonts w:cs="Arial"/>
      <w:b/>
      <w:bCs/>
    </w:rPr>
  </w:style>
  <w:style w:type="character" w:customStyle="1" w:styleId="APAH1Char">
    <w:name w:val="APA H1 Char"/>
    <w:basedOn w:val="DefaultParagraphFont"/>
    <w:link w:val="APAH1"/>
    <w:rsid w:val="0081509C"/>
    <w:rPr>
      <w:rFonts w:ascii="Arial" w:hAnsi="Arial" w:cs="Arial"/>
      <w:b/>
      <w:bCs/>
    </w:rPr>
  </w:style>
  <w:style w:type="paragraph" w:customStyle="1" w:styleId="APAH2">
    <w:name w:val="APA H2"/>
    <w:basedOn w:val="Normal"/>
    <w:next w:val="APAnormal"/>
    <w:link w:val="APAH2Char"/>
    <w:autoRedefine/>
    <w:qFormat/>
    <w:rsid w:val="0081509C"/>
    <w:rPr>
      <w:rFonts w:cs="Arial"/>
      <w:b/>
    </w:rPr>
  </w:style>
  <w:style w:type="character" w:customStyle="1" w:styleId="APAH2Char">
    <w:name w:val="APA H2 Char"/>
    <w:basedOn w:val="DefaultParagraphFont"/>
    <w:link w:val="APAH2"/>
    <w:rsid w:val="0081509C"/>
    <w:rPr>
      <w:rFonts w:ascii="Arial" w:hAnsi="Arial" w:cs="Arial"/>
      <w:b/>
    </w:rPr>
  </w:style>
  <w:style w:type="paragraph" w:customStyle="1" w:styleId="APAH3">
    <w:name w:val="APA H3"/>
    <w:basedOn w:val="Normal"/>
    <w:next w:val="APAnormal"/>
    <w:link w:val="APAH3Char"/>
    <w:autoRedefine/>
    <w:qFormat/>
    <w:rsid w:val="0081509C"/>
    <w:rPr>
      <w:rFonts w:cs="Arial"/>
      <w:b/>
      <w:i/>
    </w:rPr>
  </w:style>
  <w:style w:type="character" w:customStyle="1" w:styleId="APAH3Char">
    <w:name w:val="APA H3 Char"/>
    <w:basedOn w:val="DefaultParagraphFont"/>
    <w:link w:val="APAH3"/>
    <w:rsid w:val="0081509C"/>
    <w:rPr>
      <w:rFonts w:ascii="Arial" w:hAnsi="Arial" w:cs="Arial"/>
      <w:b/>
      <w:i/>
    </w:rPr>
  </w:style>
  <w:style w:type="paragraph" w:customStyle="1" w:styleId="APAH4">
    <w:name w:val="APA H4"/>
    <w:basedOn w:val="APAH3"/>
    <w:next w:val="APANormal0"/>
    <w:link w:val="APAH4Char"/>
    <w:autoRedefine/>
    <w:qFormat/>
    <w:rsid w:val="0081509C"/>
    <w:rPr>
      <w:i w:val="0"/>
    </w:rPr>
  </w:style>
  <w:style w:type="character" w:customStyle="1" w:styleId="APAH4Char">
    <w:name w:val="APA H4 Char"/>
    <w:basedOn w:val="APAH3Char"/>
    <w:link w:val="APAH4"/>
    <w:rsid w:val="0081509C"/>
    <w:rPr>
      <w:rFonts w:ascii="Arial" w:hAnsi="Arial" w:cs="Arial"/>
      <w:b/>
      <w:i w:val="0"/>
    </w:rPr>
  </w:style>
  <w:style w:type="paragraph" w:customStyle="1" w:styleId="APAH5">
    <w:name w:val="APA H5"/>
    <w:basedOn w:val="APAH4"/>
    <w:next w:val="APANormal0"/>
    <w:link w:val="APAH5Char"/>
    <w:autoRedefine/>
    <w:qFormat/>
    <w:rsid w:val="0081509C"/>
    <w:rPr>
      <w:i/>
    </w:rPr>
  </w:style>
  <w:style w:type="character" w:customStyle="1" w:styleId="APAH5Char">
    <w:name w:val="APA H5 Char"/>
    <w:basedOn w:val="APAH4Char"/>
    <w:link w:val="APAH5"/>
    <w:rsid w:val="0081509C"/>
    <w:rPr>
      <w:rFonts w:ascii="Arial" w:hAnsi="Arial" w:cs="Arial"/>
      <w:b/>
      <w:i/>
    </w:rPr>
  </w:style>
  <w:style w:type="character" w:customStyle="1" w:styleId="Heading1Char">
    <w:name w:val="Heading 1 Char"/>
    <w:basedOn w:val="DefaultParagraphFont"/>
    <w:link w:val="Heading1"/>
    <w:uiPriority w:val="9"/>
    <w:rsid w:val="00957C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7C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57C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57C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57CD8"/>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57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957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CD8"/>
    <w:rPr>
      <w:rFonts w:eastAsiaTheme="majorEastAsia" w:cstheme="majorBidi"/>
      <w:color w:val="272727" w:themeColor="text1" w:themeTint="D8"/>
    </w:rPr>
  </w:style>
  <w:style w:type="paragraph" w:styleId="Title">
    <w:name w:val="Title"/>
    <w:basedOn w:val="Normal"/>
    <w:next w:val="Normal"/>
    <w:link w:val="TitleChar"/>
    <w:uiPriority w:val="10"/>
    <w:qFormat/>
    <w:rsid w:val="00957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7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CD8"/>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C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C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7CD8"/>
    <w:rPr>
      <w:rFonts w:ascii="Arial" w:hAnsi="Arial"/>
      <w:i/>
      <w:iCs/>
      <w:color w:val="404040" w:themeColor="text1" w:themeTint="BF"/>
    </w:rPr>
  </w:style>
  <w:style w:type="character" w:styleId="IntenseEmphasis">
    <w:name w:val="Intense Emphasis"/>
    <w:basedOn w:val="DefaultParagraphFont"/>
    <w:uiPriority w:val="21"/>
    <w:qFormat/>
    <w:rsid w:val="00957CD8"/>
    <w:rPr>
      <w:i/>
      <w:iCs/>
      <w:color w:val="0F4761" w:themeColor="accent1" w:themeShade="BF"/>
    </w:rPr>
  </w:style>
  <w:style w:type="paragraph" w:styleId="IntenseQuote">
    <w:name w:val="Intense Quote"/>
    <w:basedOn w:val="Normal"/>
    <w:next w:val="Normal"/>
    <w:link w:val="IntenseQuoteChar"/>
    <w:uiPriority w:val="30"/>
    <w:qFormat/>
    <w:rsid w:val="00957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7CD8"/>
    <w:rPr>
      <w:rFonts w:ascii="Arial" w:hAnsi="Arial"/>
      <w:i/>
      <w:iCs/>
      <w:color w:val="0F4761" w:themeColor="accent1" w:themeShade="BF"/>
    </w:rPr>
  </w:style>
  <w:style w:type="character" w:styleId="IntenseReference">
    <w:name w:val="Intense Reference"/>
    <w:basedOn w:val="DefaultParagraphFont"/>
    <w:uiPriority w:val="32"/>
    <w:qFormat/>
    <w:rsid w:val="00957CD8"/>
    <w:rPr>
      <w:b/>
      <w:bCs/>
      <w:smallCaps/>
      <w:color w:val="0F4761" w:themeColor="accent1" w:themeShade="BF"/>
      <w:spacing w:val="5"/>
    </w:rPr>
  </w:style>
  <w:style w:type="character" w:styleId="Hyperlink">
    <w:name w:val="Hyperlink"/>
    <w:basedOn w:val="DefaultParagraphFont"/>
    <w:uiPriority w:val="99"/>
    <w:unhideWhenUsed/>
    <w:rsid w:val="00010BCF"/>
    <w:rPr>
      <w:color w:val="467886" w:themeColor="hyperlink"/>
      <w:u w:val="single"/>
    </w:rPr>
  </w:style>
  <w:style w:type="character" w:styleId="UnresolvedMention">
    <w:name w:val="Unresolved Mention"/>
    <w:basedOn w:val="DefaultParagraphFont"/>
    <w:uiPriority w:val="99"/>
    <w:semiHidden/>
    <w:unhideWhenUsed/>
    <w:rsid w:val="00010BCF"/>
    <w:rPr>
      <w:color w:val="605E5C"/>
      <w:shd w:val="clear" w:color="auto" w:fill="E1DFDD"/>
    </w:rPr>
  </w:style>
  <w:style w:type="paragraph" w:styleId="NoSpacing">
    <w:name w:val="No Spacing"/>
    <w:uiPriority w:val="1"/>
    <w:qFormat/>
    <w:rsid w:val="00F17101"/>
    <w:pPr>
      <w:spacing w:after="0" w:line="240" w:lineRule="auto"/>
    </w:pPr>
    <w:rPr>
      <w:rFonts w:ascii="Arial" w:hAnsi="Arial" w:cs="Arial"/>
      <w:color w:val="000000" w:themeColor="text1"/>
      <w:kern w:val="0"/>
      <w14:ligatures w14:val="none"/>
    </w:rPr>
  </w:style>
  <w:style w:type="table" w:styleId="TableGridLight">
    <w:name w:val="Grid Table Light"/>
    <w:basedOn w:val="TableNormal"/>
    <w:uiPriority w:val="59"/>
    <w:rsid w:val="00F17101"/>
    <w:pPr>
      <w:spacing w:after="0" w:line="240" w:lineRule="auto"/>
    </w:pPr>
    <w:rPr>
      <w:rFonts w:ascii="Arial" w:hAnsi="Arial" w:cs="Arial"/>
      <w:color w:val="000000" w:themeColor="text1"/>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rsid w:val="00F17101"/>
    <w:pPr>
      <w:spacing w:after="0" w:line="240" w:lineRule="auto"/>
    </w:pPr>
    <w:rPr>
      <w:rFonts w:ascii="Arial" w:hAnsi="Arial" w:cs="Arial"/>
      <w:color w:val="000000" w:themeColor="text1"/>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F17101"/>
    <w:pPr>
      <w:spacing w:after="0" w:line="240" w:lineRule="auto"/>
    </w:pPr>
    <w:rPr>
      <w:rFonts w:ascii="Arial" w:hAnsi="Arial" w:cs="Arial"/>
      <w:color w:val="000000" w:themeColor="text1"/>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2">
    <w:name w:val="Grid Table 1 Light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1Light-Accent3">
    <w:name w:val="Grid Table 1 Light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
    <w:name w:val="Grid Table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
    <w:name w:val="Grid Table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
    <w:name w:val="Grid Table 4"/>
    <w:basedOn w:val="TableNormal"/>
    <w:uiPriority w:val="5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
    <w:name w:val="Grid Table 5 Dark"/>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1">
    <w:name w:val="Grid Table 5 Dark - Accent 1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styleId="GridTable5Dark-Accent2">
    <w:name w:val="Grid Table 5 Dark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1">
    <w:name w:val="Grid Table 5 Dark - Accent 4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5Dark-Accent5">
    <w:name w:val="Grid Table 5 Dark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
    <w:name w:val="Grid Table 6 Colorful"/>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6Colorful-Accent2">
    <w:name w:val="Grid Table 6 Colorful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6Colorful-Accent3">
    <w:name w:val="Grid Table 6 Colorful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6Colorful-Accent4">
    <w:name w:val="Grid Table 6 Colorful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6Colorful-Accent5">
    <w:name w:val="Grid Table 6 Colorful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6Colorful-Accent6">
    <w:name w:val="Grid Table 6 Colorful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
    <w:name w:val="Grid Table 7 Colorful"/>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7Colorful-Accent2">
    <w:name w:val="Grid Table 7 Colorful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7Colorful-Accent3">
    <w:name w:val="Grid Table 7 Colorful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7Colorful-Accent4">
    <w:name w:val="Grid Table 7 Colorful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7Colorful-Accent5">
    <w:name w:val="Grid Table 7 Colorful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7Colorful-Accent6">
    <w:name w:val="Grid Table 7 Colorful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
    <w:name w:val="List Table 1 Light"/>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
    <w:name w:val="List Table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
    <w:name w:val="List Table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
    <w:name w:val="List Table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
    <w:name w:val="List Table 5 Dark"/>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
    <w:name w:val="List Table 6 Colorful"/>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6Colorful-Accent2">
    <w:name w:val="List Table 6 Colorful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6Colorful-Accent3">
    <w:name w:val="List Table 6 Colorful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6Colorful-Accent4">
    <w:name w:val="List Table 6 Colorful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6Colorful-Accent5">
    <w:name w:val="List Table 6 Colorful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6Colorful-Accent6">
    <w:name w:val="List Table 6 Colorful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
    <w:name w:val="List Table 7 Colorful"/>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7Colorful-Accent2">
    <w:name w:val="List Table 7 Colorful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7Colorful-Accent3">
    <w:name w:val="List Table 7 Colorful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7Colorful-Accent4">
    <w:name w:val="List Table 7 Colorful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7Colorful-Accent5">
    <w:name w:val="List Table 7 Colorful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7Colorful-Accent6">
    <w:name w:val="List Table 7 Colorful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sid w:val="00F17101"/>
    <w:pPr>
      <w:spacing w:after="0" w:line="240" w:lineRule="auto"/>
    </w:pPr>
    <w:rPr>
      <w:rFonts w:ascii="Arial" w:hAnsi="Arial" w:cs="Arial"/>
      <w:color w:val="404040"/>
      <w:kern w:val="0"/>
      <w:sz w:val="20"/>
      <w:szCs w:val="20"/>
      <w:lang w:eastAsia="en-AU"/>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rsid w:val="00F17101"/>
    <w:pPr>
      <w:spacing w:after="0" w:line="240" w:lineRule="auto"/>
    </w:pPr>
    <w:rPr>
      <w:rFonts w:ascii="Arial" w:hAnsi="Arial" w:cs="Arial"/>
      <w:color w:val="000000" w:themeColor="text1"/>
      <w:kern w:val="0"/>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FootnoteText">
    <w:name w:val="footnote text"/>
    <w:basedOn w:val="Normal"/>
    <w:link w:val="FootnoteTextChar"/>
    <w:uiPriority w:val="99"/>
    <w:unhideWhenUsed/>
    <w:rsid w:val="00F17101"/>
    <w:pPr>
      <w:widowControl w:val="0"/>
      <w:kinsoku w:val="0"/>
      <w:overflowPunct w:val="0"/>
      <w:adjustRightInd w:val="0"/>
      <w:snapToGrid w:val="0"/>
      <w:spacing w:after="40" w:line="240" w:lineRule="auto"/>
    </w:pPr>
    <w:rPr>
      <w:rFonts w:eastAsiaTheme="majorEastAsia" w:cs="Arial"/>
      <w:bCs/>
      <w:snapToGrid w:val="0"/>
      <w:color w:val="000000" w:themeColor="text1"/>
      <w:kern w:val="0"/>
      <w:sz w:val="18"/>
      <w:shd w:val="clear" w:color="auto" w:fill="FFFFFF"/>
      <w14:ligatures w14:val="none"/>
    </w:rPr>
  </w:style>
  <w:style w:type="character" w:customStyle="1" w:styleId="FootnoteTextChar">
    <w:name w:val="Footnote Text Char"/>
    <w:basedOn w:val="DefaultParagraphFont"/>
    <w:link w:val="FootnoteText"/>
    <w:uiPriority w:val="99"/>
    <w:rsid w:val="00F17101"/>
    <w:rPr>
      <w:rFonts w:ascii="Arial" w:eastAsiaTheme="majorEastAsia" w:hAnsi="Arial" w:cs="Arial"/>
      <w:bCs/>
      <w:snapToGrid w:val="0"/>
      <w:color w:val="000000" w:themeColor="text1"/>
      <w:kern w:val="0"/>
      <w:sz w:val="18"/>
      <w14:ligatures w14:val="none"/>
    </w:rPr>
  </w:style>
  <w:style w:type="character" w:styleId="FootnoteReference">
    <w:name w:val="footnote reference"/>
    <w:basedOn w:val="DefaultParagraphFont"/>
    <w:uiPriority w:val="99"/>
    <w:unhideWhenUsed/>
    <w:rsid w:val="00F17101"/>
    <w:rPr>
      <w:vertAlign w:val="superscript"/>
    </w:rPr>
  </w:style>
  <w:style w:type="paragraph" w:styleId="EndnoteText">
    <w:name w:val="endnote text"/>
    <w:basedOn w:val="Normal"/>
    <w:link w:val="EndnoteTextChar"/>
    <w:uiPriority w:val="99"/>
    <w:semiHidden/>
    <w:unhideWhenUsed/>
    <w:rsid w:val="00F17101"/>
    <w:pPr>
      <w:widowControl w:val="0"/>
      <w:kinsoku w:val="0"/>
      <w:overflowPunct w:val="0"/>
      <w:adjustRightInd w:val="0"/>
      <w:snapToGrid w:val="0"/>
      <w:spacing w:line="240" w:lineRule="auto"/>
    </w:pPr>
    <w:rPr>
      <w:rFonts w:eastAsiaTheme="majorEastAsia" w:cs="Arial"/>
      <w:bCs/>
      <w:snapToGrid w:val="0"/>
      <w:color w:val="000000" w:themeColor="text1"/>
      <w:kern w:val="0"/>
      <w:sz w:val="20"/>
      <w:shd w:val="clear" w:color="auto" w:fill="FFFFFF"/>
      <w14:ligatures w14:val="none"/>
    </w:rPr>
  </w:style>
  <w:style w:type="character" w:customStyle="1" w:styleId="EndnoteTextChar">
    <w:name w:val="Endnote Text Char"/>
    <w:basedOn w:val="DefaultParagraphFont"/>
    <w:link w:val="EndnoteText"/>
    <w:uiPriority w:val="99"/>
    <w:semiHidden/>
    <w:rsid w:val="00F17101"/>
    <w:rPr>
      <w:rFonts w:ascii="Arial" w:eastAsiaTheme="majorEastAsia" w:hAnsi="Arial" w:cs="Arial"/>
      <w:bCs/>
      <w:snapToGrid w:val="0"/>
      <w:color w:val="000000" w:themeColor="text1"/>
      <w:kern w:val="0"/>
      <w:sz w:val="20"/>
      <w14:ligatures w14:val="none"/>
    </w:rPr>
  </w:style>
  <w:style w:type="character" w:styleId="EndnoteReference">
    <w:name w:val="endnote reference"/>
    <w:basedOn w:val="DefaultParagraphFont"/>
    <w:uiPriority w:val="99"/>
    <w:semiHidden/>
    <w:unhideWhenUsed/>
    <w:rsid w:val="00F17101"/>
    <w:rPr>
      <w:vertAlign w:val="superscript"/>
    </w:rPr>
  </w:style>
  <w:style w:type="paragraph" w:styleId="TOC4">
    <w:name w:val="toc 4"/>
    <w:basedOn w:val="Normal"/>
    <w:next w:val="Normal"/>
    <w:uiPriority w:val="39"/>
    <w:unhideWhenUsed/>
    <w:rsid w:val="00F17101"/>
    <w:pPr>
      <w:widowControl w:val="0"/>
      <w:kinsoku w:val="0"/>
      <w:overflowPunct w:val="0"/>
      <w:adjustRightInd w:val="0"/>
      <w:snapToGrid w:val="0"/>
      <w:spacing w:after="57"/>
      <w:ind w:left="850" w:firstLine="0"/>
    </w:pPr>
    <w:rPr>
      <w:rFonts w:eastAsiaTheme="majorEastAsia" w:cs="Arial"/>
      <w:bCs/>
      <w:snapToGrid w:val="0"/>
      <w:color w:val="000000" w:themeColor="text1"/>
      <w:kern w:val="0"/>
      <w:shd w:val="clear" w:color="auto" w:fill="FFFFFF"/>
      <w14:ligatures w14:val="none"/>
    </w:rPr>
  </w:style>
  <w:style w:type="paragraph" w:styleId="TOC5">
    <w:name w:val="toc 5"/>
    <w:basedOn w:val="Normal"/>
    <w:next w:val="Normal"/>
    <w:uiPriority w:val="39"/>
    <w:unhideWhenUsed/>
    <w:rsid w:val="00F17101"/>
    <w:pPr>
      <w:widowControl w:val="0"/>
      <w:kinsoku w:val="0"/>
      <w:overflowPunct w:val="0"/>
      <w:adjustRightInd w:val="0"/>
      <w:snapToGrid w:val="0"/>
      <w:spacing w:after="57"/>
      <w:ind w:left="1134" w:firstLine="0"/>
    </w:pPr>
    <w:rPr>
      <w:rFonts w:eastAsiaTheme="majorEastAsia" w:cs="Arial"/>
      <w:bCs/>
      <w:snapToGrid w:val="0"/>
      <w:color w:val="000000" w:themeColor="text1"/>
      <w:kern w:val="0"/>
      <w:shd w:val="clear" w:color="auto" w:fill="FFFFFF"/>
      <w14:ligatures w14:val="none"/>
    </w:rPr>
  </w:style>
  <w:style w:type="paragraph" w:styleId="TOC6">
    <w:name w:val="toc 6"/>
    <w:basedOn w:val="Normal"/>
    <w:next w:val="Normal"/>
    <w:uiPriority w:val="39"/>
    <w:unhideWhenUsed/>
    <w:rsid w:val="00F17101"/>
    <w:pPr>
      <w:widowControl w:val="0"/>
      <w:kinsoku w:val="0"/>
      <w:overflowPunct w:val="0"/>
      <w:adjustRightInd w:val="0"/>
      <w:snapToGrid w:val="0"/>
      <w:spacing w:after="57"/>
      <w:ind w:left="1417" w:firstLine="0"/>
    </w:pPr>
    <w:rPr>
      <w:rFonts w:eastAsiaTheme="majorEastAsia" w:cs="Arial"/>
      <w:bCs/>
      <w:snapToGrid w:val="0"/>
      <w:color w:val="000000" w:themeColor="text1"/>
      <w:kern w:val="0"/>
      <w:shd w:val="clear" w:color="auto" w:fill="FFFFFF"/>
      <w14:ligatures w14:val="none"/>
    </w:rPr>
  </w:style>
  <w:style w:type="paragraph" w:styleId="TOC7">
    <w:name w:val="toc 7"/>
    <w:basedOn w:val="Normal"/>
    <w:next w:val="Normal"/>
    <w:uiPriority w:val="39"/>
    <w:unhideWhenUsed/>
    <w:rsid w:val="00F17101"/>
    <w:pPr>
      <w:widowControl w:val="0"/>
      <w:kinsoku w:val="0"/>
      <w:overflowPunct w:val="0"/>
      <w:adjustRightInd w:val="0"/>
      <w:snapToGrid w:val="0"/>
      <w:spacing w:after="57"/>
      <w:ind w:left="1701" w:firstLine="0"/>
    </w:pPr>
    <w:rPr>
      <w:rFonts w:eastAsiaTheme="majorEastAsia" w:cs="Arial"/>
      <w:bCs/>
      <w:snapToGrid w:val="0"/>
      <w:color w:val="000000" w:themeColor="text1"/>
      <w:kern w:val="0"/>
      <w:shd w:val="clear" w:color="auto" w:fill="FFFFFF"/>
      <w14:ligatures w14:val="none"/>
    </w:rPr>
  </w:style>
  <w:style w:type="paragraph" w:styleId="TOC8">
    <w:name w:val="toc 8"/>
    <w:basedOn w:val="Normal"/>
    <w:next w:val="Normal"/>
    <w:uiPriority w:val="39"/>
    <w:unhideWhenUsed/>
    <w:rsid w:val="00F17101"/>
    <w:pPr>
      <w:widowControl w:val="0"/>
      <w:kinsoku w:val="0"/>
      <w:overflowPunct w:val="0"/>
      <w:adjustRightInd w:val="0"/>
      <w:snapToGrid w:val="0"/>
      <w:spacing w:after="57"/>
      <w:ind w:left="1984" w:firstLine="0"/>
    </w:pPr>
    <w:rPr>
      <w:rFonts w:eastAsiaTheme="majorEastAsia" w:cs="Arial"/>
      <w:bCs/>
      <w:snapToGrid w:val="0"/>
      <w:color w:val="000000" w:themeColor="text1"/>
      <w:kern w:val="0"/>
      <w:shd w:val="clear" w:color="auto" w:fill="FFFFFF"/>
      <w14:ligatures w14:val="none"/>
    </w:rPr>
  </w:style>
  <w:style w:type="paragraph" w:styleId="TOC9">
    <w:name w:val="toc 9"/>
    <w:basedOn w:val="Normal"/>
    <w:next w:val="Normal"/>
    <w:uiPriority w:val="39"/>
    <w:unhideWhenUsed/>
    <w:rsid w:val="00F17101"/>
    <w:pPr>
      <w:widowControl w:val="0"/>
      <w:kinsoku w:val="0"/>
      <w:overflowPunct w:val="0"/>
      <w:adjustRightInd w:val="0"/>
      <w:snapToGrid w:val="0"/>
      <w:spacing w:after="57"/>
      <w:ind w:left="2268" w:firstLine="0"/>
    </w:pPr>
    <w:rPr>
      <w:rFonts w:eastAsiaTheme="majorEastAsia" w:cs="Arial"/>
      <w:bCs/>
      <w:snapToGrid w:val="0"/>
      <w:color w:val="000000" w:themeColor="text1"/>
      <w:kern w:val="0"/>
      <w:shd w:val="clear" w:color="auto" w:fill="FFFFFF"/>
      <w14:ligatures w14:val="none"/>
    </w:rPr>
  </w:style>
  <w:style w:type="paragraph" w:styleId="Header">
    <w:name w:val="header"/>
    <w:basedOn w:val="Normal"/>
    <w:link w:val="HeaderChar"/>
    <w:uiPriority w:val="99"/>
    <w:unhideWhenUsed/>
    <w:rsid w:val="00F17101"/>
    <w:pPr>
      <w:widowControl w:val="0"/>
      <w:tabs>
        <w:tab w:val="center" w:pos="4513"/>
        <w:tab w:val="right" w:pos="9026"/>
      </w:tabs>
      <w:kinsoku w:val="0"/>
      <w:overflowPunct w:val="0"/>
      <w:adjustRightInd w:val="0"/>
      <w:snapToGrid w:val="0"/>
      <w:spacing w:line="240" w:lineRule="auto"/>
    </w:pPr>
    <w:rPr>
      <w:rFonts w:eastAsiaTheme="majorEastAsia" w:cs="Arial"/>
      <w:bCs/>
      <w:snapToGrid w:val="0"/>
      <w:color w:val="000000" w:themeColor="text1"/>
      <w:kern w:val="0"/>
      <w:shd w:val="clear" w:color="auto" w:fill="FFFFFF"/>
      <w14:ligatures w14:val="none"/>
    </w:rPr>
  </w:style>
  <w:style w:type="character" w:customStyle="1" w:styleId="HeaderChar">
    <w:name w:val="Header Char"/>
    <w:basedOn w:val="DefaultParagraphFont"/>
    <w:link w:val="Header"/>
    <w:uiPriority w:val="99"/>
    <w:rsid w:val="00F17101"/>
    <w:rPr>
      <w:rFonts w:ascii="Arial" w:eastAsiaTheme="majorEastAsia" w:hAnsi="Arial" w:cs="Arial"/>
      <w:bCs/>
      <w:snapToGrid w:val="0"/>
      <w:color w:val="000000" w:themeColor="text1"/>
      <w:kern w:val="0"/>
      <w14:ligatures w14:val="none"/>
    </w:rPr>
  </w:style>
  <w:style w:type="paragraph" w:styleId="Footer">
    <w:name w:val="footer"/>
    <w:basedOn w:val="Normal"/>
    <w:link w:val="FooterChar"/>
    <w:uiPriority w:val="99"/>
    <w:unhideWhenUsed/>
    <w:rsid w:val="00F17101"/>
    <w:pPr>
      <w:widowControl w:val="0"/>
      <w:tabs>
        <w:tab w:val="center" w:pos="4513"/>
        <w:tab w:val="right" w:pos="9026"/>
      </w:tabs>
      <w:kinsoku w:val="0"/>
      <w:overflowPunct w:val="0"/>
      <w:adjustRightInd w:val="0"/>
      <w:snapToGrid w:val="0"/>
      <w:spacing w:line="240" w:lineRule="auto"/>
    </w:pPr>
    <w:rPr>
      <w:rFonts w:eastAsiaTheme="majorEastAsia" w:cs="Arial"/>
      <w:bCs/>
      <w:snapToGrid w:val="0"/>
      <w:color w:val="000000" w:themeColor="text1"/>
      <w:kern w:val="0"/>
      <w:shd w:val="clear" w:color="auto" w:fill="FFFFFF"/>
      <w14:ligatures w14:val="none"/>
    </w:rPr>
  </w:style>
  <w:style w:type="character" w:customStyle="1" w:styleId="FooterChar">
    <w:name w:val="Footer Char"/>
    <w:basedOn w:val="DefaultParagraphFont"/>
    <w:link w:val="Footer"/>
    <w:uiPriority w:val="99"/>
    <w:rsid w:val="00F17101"/>
    <w:rPr>
      <w:rFonts w:ascii="Arial" w:eastAsiaTheme="majorEastAsia" w:hAnsi="Arial" w:cs="Arial"/>
      <w:bCs/>
      <w:snapToGrid w:val="0"/>
      <w:color w:val="000000" w:themeColor="text1"/>
      <w:kern w:val="0"/>
      <w14:ligatures w14:val="none"/>
    </w:rPr>
  </w:style>
  <w:style w:type="paragraph" w:styleId="NormalWeb">
    <w:name w:val="Normal (Web)"/>
    <w:basedOn w:val="Normal"/>
    <w:uiPriority w:val="99"/>
    <w:unhideWhenUsed/>
    <w:rsid w:val="00F17101"/>
    <w:pPr>
      <w:widowControl w:val="0"/>
      <w:kinsoku w:val="0"/>
      <w:overflowPunct w:val="0"/>
      <w:adjustRightInd w:val="0"/>
      <w:snapToGrid w:val="0"/>
      <w:spacing w:before="100" w:beforeAutospacing="1" w:after="100" w:afterAutospacing="1" w:line="240" w:lineRule="auto"/>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character" w:customStyle="1" w:styleId="orcid-id-https">
    <w:name w:val="orcid-id-https"/>
    <w:basedOn w:val="DefaultParagraphFont"/>
    <w:rsid w:val="00F17101"/>
  </w:style>
  <w:style w:type="character" w:styleId="Strong">
    <w:name w:val="Strong"/>
    <w:basedOn w:val="DefaultParagraphFont"/>
    <w:uiPriority w:val="22"/>
    <w:qFormat/>
    <w:rsid w:val="00F17101"/>
    <w:rPr>
      <w:b/>
      <w:bCs/>
    </w:rPr>
  </w:style>
  <w:style w:type="paragraph" w:customStyle="1" w:styleId="EndNoteBibliographyTitle">
    <w:name w:val="EndNote Bibliography Title"/>
    <w:basedOn w:val="Normal"/>
    <w:link w:val="EndNoteBibliographyTitleChar"/>
    <w:rsid w:val="00F17101"/>
    <w:pPr>
      <w:widowControl w:val="0"/>
      <w:kinsoku w:val="0"/>
      <w:overflowPunct w:val="0"/>
      <w:adjustRightInd w:val="0"/>
      <w:snapToGrid w:val="0"/>
      <w:spacing w:line="276" w:lineRule="auto"/>
      <w:jc w:val="center"/>
    </w:pPr>
    <w:rPr>
      <w:rFonts w:eastAsia="Calibri" w:cs="Arial"/>
      <w:bCs/>
      <w:snapToGrid w:val="0"/>
      <w:color w:val="000000"/>
      <w:kern w:val="0"/>
      <w:shd w:val="clear" w:color="auto" w:fill="FFFFFF"/>
      <w:lang w:eastAsia="en-AU"/>
      <w14:ligatures w14:val="none"/>
    </w:rPr>
  </w:style>
  <w:style w:type="character" w:customStyle="1" w:styleId="EndNoteBibliographyTitleChar">
    <w:name w:val="EndNote Bibliography Title Char"/>
    <w:basedOn w:val="DefaultParagraphFont"/>
    <w:link w:val="EndNoteBibliographyTitle"/>
    <w:rsid w:val="00F17101"/>
    <w:rPr>
      <w:rFonts w:ascii="Arial" w:eastAsia="Calibri" w:hAnsi="Arial" w:cs="Arial"/>
      <w:bCs/>
      <w:snapToGrid w:val="0"/>
      <w:color w:val="000000"/>
      <w:kern w:val="0"/>
      <w:lang w:eastAsia="en-AU"/>
      <w14:ligatures w14:val="none"/>
    </w:rPr>
  </w:style>
  <w:style w:type="paragraph" w:customStyle="1" w:styleId="EndNoteBibliography">
    <w:name w:val="EndNote Bibliography"/>
    <w:basedOn w:val="Normal"/>
    <w:link w:val="EndNoteBibliographyChar"/>
    <w:rsid w:val="00F17101"/>
    <w:pPr>
      <w:widowControl w:val="0"/>
      <w:kinsoku w:val="0"/>
      <w:overflowPunct w:val="0"/>
      <w:adjustRightInd w:val="0"/>
      <w:snapToGrid w:val="0"/>
      <w:spacing w:after="200" w:line="240" w:lineRule="auto"/>
    </w:pPr>
    <w:rPr>
      <w:rFonts w:eastAsia="Calibri" w:cs="Arial"/>
      <w:bCs/>
      <w:snapToGrid w:val="0"/>
      <w:color w:val="000000"/>
      <w:kern w:val="0"/>
      <w:shd w:val="clear" w:color="auto" w:fill="FFFFFF"/>
      <w:lang w:eastAsia="en-AU"/>
      <w14:ligatures w14:val="none"/>
    </w:rPr>
  </w:style>
  <w:style w:type="character" w:customStyle="1" w:styleId="EndNoteBibliographyChar">
    <w:name w:val="EndNote Bibliography Char"/>
    <w:basedOn w:val="DefaultParagraphFont"/>
    <w:link w:val="EndNoteBibliography"/>
    <w:rsid w:val="00F17101"/>
    <w:rPr>
      <w:rFonts w:ascii="Arial" w:eastAsia="Calibri" w:hAnsi="Arial" w:cs="Arial"/>
      <w:bCs/>
      <w:snapToGrid w:val="0"/>
      <w:color w:val="000000"/>
      <w:kern w:val="0"/>
      <w:lang w:eastAsia="en-AU"/>
      <w14:ligatures w14:val="none"/>
    </w:rPr>
  </w:style>
  <w:style w:type="character" w:customStyle="1" w:styleId="BalloonTextChar">
    <w:name w:val="Balloon Text Char"/>
    <w:basedOn w:val="DefaultParagraphFont"/>
    <w:link w:val="BalloonText"/>
    <w:uiPriority w:val="99"/>
    <w:semiHidden/>
    <w:rsid w:val="00F17101"/>
    <w:rPr>
      <w:rFonts w:ascii="Segoe UI" w:eastAsia="Calibri" w:hAnsi="Segoe UI" w:cs="Segoe UI"/>
      <w:color w:val="000000"/>
      <w:sz w:val="18"/>
      <w:szCs w:val="18"/>
      <w:lang w:eastAsia="en-AU"/>
    </w:rPr>
  </w:style>
  <w:style w:type="paragraph" w:styleId="BalloonText">
    <w:name w:val="Balloon Text"/>
    <w:basedOn w:val="Normal"/>
    <w:link w:val="BalloonTextChar"/>
    <w:uiPriority w:val="99"/>
    <w:semiHidden/>
    <w:unhideWhenUsed/>
    <w:rsid w:val="00F17101"/>
    <w:pPr>
      <w:widowControl w:val="0"/>
      <w:kinsoku w:val="0"/>
      <w:overflowPunct w:val="0"/>
      <w:adjustRightInd w:val="0"/>
      <w:snapToGrid w:val="0"/>
      <w:spacing w:line="240" w:lineRule="auto"/>
    </w:pPr>
    <w:rPr>
      <w:rFonts w:ascii="Segoe UI" w:eastAsia="Calibri" w:hAnsi="Segoe UI" w:cs="Segoe UI"/>
      <w:color w:val="000000"/>
      <w:sz w:val="18"/>
      <w:szCs w:val="18"/>
      <w:shd w:val="clear" w:color="auto" w:fill="FFFFFF"/>
      <w:lang w:eastAsia="en-AU"/>
    </w:rPr>
  </w:style>
  <w:style w:type="character" w:customStyle="1" w:styleId="BalloonTextChar1">
    <w:name w:val="Balloon Text Char1"/>
    <w:basedOn w:val="DefaultParagraphFont"/>
    <w:uiPriority w:val="99"/>
    <w:semiHidden/>
    <w:rsid w:val="00F17101"/>
    <w:rPr>
      <w:rFonts w:ascii="Segoe UI" w:hAnsi="Segoe UI" w:cs="Segoe UI"/>
      <w:sz w:val="18"/>
      <w:szCs w:val="18"/>
    </w:rPr>
  </w:style>
  <w:style w:type="table" w:styleId="TableGrid">
    <w:name w:val="Table Grid"/>
    <w:basedOn w:val="TableNormal"/>
    <w:uiPriority w:val="39"/>
    <w:rsid w:val="00F17101"/>
    <w:pPr>
      <w:spacing w:after="0" w:line="240" w:lineRule="auto"/>
    </w:pPr>
    <w:rPr>
      <w:rFonts w:ascii="Calibri" w:eastAsia="Calibri" w:hAnsi="Calibri" w:cs="Calibri"/>
      <w:color w:val="000000"/>
      <w:kern w:val="0"/>
      <w:lang w:eastAsia="en-A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F17101"/>
    <w:rPr>
      <w:sz w:val="16"/>
      <w:szCs w:val="16"/>
    </w:rPr>
  </w:style>
  <w:style w:type="paragraph" w:styleId="CommentText">
    <w:name w:val="annotation text"/>
    <w:basedOn w:val="Normal"/>
    <w:link w:val="CommentTextChar"/>
    <w:uiPriority w:val="99"/>
    <w:unhideWhenUsed/>
    <w:rsid w:val="00F17101"/>
    <w:pPr>
      <w:widowControl w:val="0"/>
      <w:kinsoku w:val="0"/>
      <w:overflowPunct w:val="0"/>
      <w:adjustRightInd w:val="0"/>
      <w:snapToGrid w:val="0"/>
      <w:spacing w:after="200" w:line="240" w:lineRule="auto"/>
    </w:pPr>
    <w:rPr>
      <w:rFonts w:eastAsia="Calibri" w:cs="Calibri"/>
      <w:bCs/>
      <w:snapToGrid w:val="0"/>
      <w:color w:val="000000"/>
      <w:kern w:val="0"/>
      <w:sz w:val="20"/>
      <w:szCs w:val="20"/>
      <w:shd w:val="clear" w:color="auto" w:fill="FFFFFF"/>
      <w:lang w:eastAsia="en-AU"/>
      <w14:ligatures w14:val="none"/>
    </w:rPr>
  </w:style>
  <w:style w:type="character" w:customStyle="1" w:styleId="CommentTextChar">
    <w:name w:val="Comment Text Char"/>
    <w:basedOn w:val="DefaultParagraphFont"/>
    <w:link w:val="CommentText"/>
    <w:uiPriority w:val="99"/>
    <w:rsid w:val="00F17101"/>
    <w:rPr>
      <w:rFonts w:ascii="Arial" w:eastAsia="Calibri" w:hAnsi="Arial" w:cs="Calibri"/>
      <w:bCs/>
      <w:snapToGrid w:val="0"/>
      <w:color w:val="000000"/>
      <w:kern w:val="0"/>
      <w:sz w:val="20"/>
      <w:szCs w:val="20"/>
      <w:lang w:eastAsia="en-AU"/>
      <w14:ligatures w14:val="none"/>
    </w:rPr>
  </w:style>
  <w:style w:type="character" w:customStyle="1" w:styleId="CommentSubjectChar">
    <w:name w:val="Comment Subject Char"/>
    <w:basedOn w:val="CommentTextChar"/>
    <w:link w:val="CommentSubject"/>
    <w:uiPriority w:val="99"/>
    <w:semiHidden/>
    <w:rsid w:val="00F17101"/>
    <w:rPr>
      <w:rFonts w:ascii="Arial" w:eastAsia="Calibri" w:hAnsi="Arial" w:cs="Calibri"/>
      <w:b/>
      <w:bCs w:val="0"/>
      <w:snapToGrid w:val="0"/>
      <w:color w:val="000000"/>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F17101"/>
    <w:rPr>
      <w:b/>
      <w:bCs w:val="0"/>
    </w:rPr>
  </w:style>
  <w:style w:type="character" w:customStyle="1" w:styleId="CommentSubjectChar1">
    <w:name w:val="Comment Subject Char1"/>
    <w:basedOn w:val="CommentTextChar"/>
    <w:uiPriority w:val="99"/>
    <w:semiHidden/>
    <w:rsid w:val="00F17101"/>
    <w:rPr>
      <w:rFonts w:ascii="Arial" w:eastAsia="Calibri" w:hAnsi="Arial" w:cs="Calibri"/>
      <w:b/>
      <w:bCs w:val="0"/>
      <w:snapToGrid w:val="0"/>
      <w:color w:val="000000"/>
      <w:kern w:val="0"/>
      <w:sz w:val="20"/>
      <w:szCs w:val="20"/>
      <w:lang w:eastAsia="en-AU"/>
      <w14:ligatures w14:val="none"/>
    </w:rPr>
  </w:style>
  <w:style w:type="paragraph" w:customStyle="1" w:styleId="3APAHeading3">
    <w:name w:val="3 APA Heading 3"/>
    <w:basedOn w:val="Normal"/>
    <w:link w:val="3APAHeading3Char"/>
    <w:rsid w:val="00F17101"/>
    <w:pPr>
      <w:widowControl w:val="0"/>
      <w:tabs>
        <w:tab w:val="num" w:pos="720"/>
      </w:tabs>
      <w:kinsoku w:val="0"/>
      <w:overflowPunct w:val="0"/>
      <w:adjustRightInd w:val="0"/>
      <w:snapToGrid w:val="0"/>
      <w:ind w:left="1440" w:hanging="360"/>
    </w:pPr>
    <w:rPr>
      <w:rFonts w:eastAsiaTheme="majorEastAsia" w:cs="Times New Roman"/>
      <w:b/>
      <w:bCs/>
      <w:snapToGrid w:val="0"/>
      <w:color w:val="000000" w:themeColor="text1"/>
      <w:kern w:val="0"/>
      <w:shd w:val="clear" w:color="auto" w:fill="FFFFFF"/>
      <w14:ligatures w14:val="none"/>
    </w:rPr>
  </w:style>
  <w:style w:type="character" w:customStyle="1" w:styleId="3APAHeading3Char">
    <w:name w:val="3 APA Heading 3 Char"/>
    <w:basedOn w:val="DefaultParagraphFont"/>
    <w:link w:val="3APAHeading3"/>
    <w:rsid w:val="00F17101"/>
    <w:rPr>
      <w:rFonts w:ascii="Arial" w:eastAsiaTheme="majorEastAsia" w:hAnsi="Arial" w:cs="Times New Roman"/>
      <w:b/>
      <w:bCs/>
      <w:snapToGrid w:val="0"/>
      <w:color w:val="000000" w:themeColor="text1"/>
      <w:kern w:val="0"/>
      <w14:ligatures w14:val="none"/>
    </w:rPr>
  </w:style>
  <w:style w:type="paragraph" w:customStyle="1" w:styleId="Pa26">
    <w:name w:val="Pa26"/>
    <w:basedOn w:val="Normal"/>
    <w:next w:val="Normal"/>
    <w:uiPriority w:val="99"/>
    <w:rsid w:val="00F17101"/>
    <w:pPr>
      <w:widowControl w:val="0"/>
      <w:kinsoku w:val="0"/>
      <w:overflowPunct w:val="0"/>
      <w:adjustRightInd w:val="0"/>
      <w:snapToGrid w:val="0"/>
      <w:spacing w:line="201" w:lineRule="atLeast"/>
    </w:pPr>
    <w:rPr>
      <w:rFonts w:ascii="Tiempos Text Regular" w:eastAsiaTheme="majorEastAsia" w:hAnsi="Tiempos Text Regular" w:cs="Arial"/>
      <w:bCs/>
      <w:snapToGrid w:val="0"/>
      <w:color w:val="000000" w:themeColor="text1"/>
      <w:kern w:val="0"/>
      <w:shd w:val="clear" w:color="auto" w:fill="FFFFFF"/>
      <w14:ligatures w14:val="none"/>
    </w:rPr>
  </w:style>
  <w:style w:type="character" w:customStyle="1" w:styleId="A15">
    <w:name w:val="A15"/>
    <w:uiPriority w:val="99"/>
    <w:rsid w:val="00F17101"/>
    <w:rPr>
      <w:rFonts w:ascii="Gotham Narrow Medium" w:hAnsi="Gotham Narrow Medium" w:cs="Gotham Narrow Medium"/>
      <w:color w:val="000000"/>
      <w:sz w:val="12"/>
      <w:szCs w:val="12"/>
    </w:rPr>
  </w:style>
  <w:style w:type="paragraph" w:styleId="Caption">
    <w:name w:val="caption"/>
    <w:basedOn w:val="Normal"/>
    <w:next w:val="Normal"/>
    <w:link w:val="CaptionChar"/>
    <w:uiPriority w:val="35"/>
    <w:unhideWhenUsed/>
    <w:qFormat/>
    <w:rsid w:val="00F17101"/>
    <w:pPr>
      <w:widowControl w:val="0"/>
      <w:kinsoku w:val="0"/>
      <w:overflowPunct w:val="0"/>
      <w:adjustRightInd w:val="0"/>
      <w:snapToGrid w:val="0"/>
      <w:spacing w:after="200" w:line="240" w:lineRule="auto"/>
    </w:pPr>
    <w:rPr>
      <w:rFonts w:eastAsiaTheme="majorEastAsia" w:cs="Arial"/>
      <w:bCs/>
      <w:i/>
      <w:iCs/>
      <w:snapToGrid w:val="0"/>
      <w:color w:val="0E2841" w:themeColor="text2"/>
      <w:kern w:val="0"/>
      <w:sz w:val="18"/>
      <w:szCs w:val="18"/>
      <w:shd w:val="clear" w:color="auto" w:fill="FFFFFF"/>
      <w14:ligatures w14:val="none"/>
    </w:rPr>
  </w:style>
  <w:style w:type="character" w:customStyle="1" w:styleId="CaptionChar">
    <w:name w:val="Caption Char"/>
    <w:basedOn w:val="DefaultParagraphFont"/>
    <w:link w:val="Caption"/>
    <w:uiPriority w:val="35"/>
    <w:rsid w:val="00F17101"/>
    <w:rPr>
      <w:rFonts w:ascii="Arial" w:eastAsiaTheme="majorEastAsia" w:hAnsi="Arial" w:cs="Arial"/>
      <w:bCs/>
      <w:i/>
      <w:iCs/>
      <w:snapToGrid w:val="0"/>
      <w:color w:val="0E2841" w:themeColor="text2"/>
      <w:kern w:val="0"/>
      <w:sz w:val="18"/>
      <w:szCs w:val="18"/>
      <w14:ligatures w14:val="none"/>
    </w:rPr>
  </w:style>
  <w:style w:type="paragraph" w:customStyle="1" w:styleId="FigureNumber">
    <w:name w:val="Figure Number"/>
    <w:basedOn w:val="3APAHeading3"/>
    <w:link w:val="FigureNumberChar"/>
    <w:qFormat/>
    <w:rsid w:val="00F17101"/>
    <w:pPr>
      <w:ind w:left="357" w:hanging="357"/>
    </w:pPr>
  </w:style>
  <w:style w:type="character" w:customStyle="1" w:styleId="FigureNumberChar">
    <w:name w:val="Figure Number Char"/>
    <w:basedOn w:val="3APAHeading3Char"/>
    <w:link w:val="FigureNumber"/>
    <w:rsid w:val="00F17101"/>
    <w:rPr>
      <w:rFonts w:ascii="Arial" w:eastAsiaTheme="majorEastAsia" w:hAnsi="Arial" w:cs="Times New Roman"/>
      <w:b/>
      <w:bCs/>
      <w:snapToGrid w:val="0"/>
      <w:color w:val="000000" w:themeColor="text1"/>
      <w:kern w:val="0"/>
      <w14:ligatures w14:val="none"/>
    </w:rPr>
  </w:style>
  <w:style w:type="paragraph" w:customStyle="1" w:styleId="FigureTitle">
    <w:name w:val="Figure Title"/>
    <w:basedOn w:val="Normal"/>
    <w:link w:val="FigureTitleChar"/>
    <w:qFormat/>
    <w:rsid w:val="00F17101"/>
    <w:pPr>
      <w:widowControl w:val="0"/>
      <w:kinsoku w:val="0"/>
      <w:overflowPunct w:val="0"/>
      <w:adjustRightInd w:val="0"/>
      <w:snapToGrid w:val="0"/>
      <w:ind w:firstLine="0"/>
    </w:pPr>
    <w:rPr>
      <w:rFonts w:eastAsia="Calibri" w:cs="Arial"/>
      <w:i/>
      <w:snapToGrid w:val="0"/>
      <w:color w:val="000000"/>
      <w:kern w:val="0"/>
      <w:shd w:val="clear" w:color="auto" w:fill="FFFFFF"/>
      <w:lang w:eastAsia="en-AU"/>
      <w14:ligatures w14:val="none"/>
    </w:rPr>
  </w:style>
  <w:style w:type="character" w:customStyle="1" w:styleId="FigureTitleChar">
    <w:name w:val="Figure Title Char"/>
    <w:basedOn w:val="DefaultParagraphFont"/>
    <w:link w:val="FigureTitle"/>
    <w:rsid w:val="00F17101"/>
    <w:rPr>
      <w:rFonts w:ascii="Arial" w:eastAsia="Calibri" w:hAnsi="Arial" w:cs="Arial"/>
      <w:i/>
      <w:snapToGrid w:val="0"/>
      <w:color w:val="000000"/>
      <w:kern w:val="0"/>
      <w:lang w:eastAsia="en-AU"/>
      <w14:ligatures w14:val="none"/>
    </w:rPr>
  </w:style>
  <w:style w:type="paragraph" w:customStyle="1" w:styleId="TableNumber">
    <w:name w:val="Table Number"/>
    <w:basedOn w:val="Caption"/>
    <w:link w:val="TableNumberChar"/>
    <w:qFormat/>
    <w:rsid w:val="00F17101"/>
    <w:pPr>
      <w:keepNext/>
      <w:spacing w:after="0" w:line="480" w:lineRule="auto"/>
      <w:ind w:firstLine="0"/>
    </w:pPr>
    <w:rPr>
      <w:b/>
      <w:i w:val="0"/>
    </w:rPr>
  </w:style>
  <w:style w:type="character" w:customStyle="1" w:styleId="TableNumberChar">
    <w:name w:val="Table Number Char"/>
    <w:basedOn w:val="CaptionChar"/>
    <w:link w:val="TableNumber"/>
    <w:rsid w:val="00F17101"/>
    <w:rPr>
      <w:rFonts w:ascii="Arial" w:eastAsiaTheme="majorEastAsia" w:hAnsi="Arial" w:cs="Arial"/>
      <w:b/>
      <w:bCs/>
      <w:i w:val="0"/>
      <w:iCs/>
      <w:snapToGrid w:val="0"/>
      <w:color w:val="0E2841" w:themeColor="text2"/>
      <w:kern w:val="0"/>
      <w:sz w:val="18"/>
      <w:szCs w:val="18"/>
      <w14:ligatures w14:val="none"/>
    </w:rPr>
  </w:style>
  <w:style w:type="paragraph" w:customStyle="1" w:styleId="TableTitle">
    <w:name w:val="Table Title"/>
    <w:basedOn w:val="NormalWeb"/>
    <w:link w:val="TableTitleChar"/>
    <w:autoRedefine/>
    <w:qFormat/>
    <w:rsid w:val="00F17101"/>
    <w:pPr>
      <w:tabs>
        <w:tab w:val="right" w:leader="dot" w:pos="9072"/>
      </w:tabs>
      <w:spacing w:line="480" w:lineRule="auto"/>
      <w:ind w:firstLine="0"/>
    </w:pPr>
    <w:rPr>
      <w:rFonts w:ascii="Arial" w:hAnsi="Arial"/>
      <w:i/>
      <w:iCs/>
      <w:sz w:val="18"/>
      <w:szCs w:val="18"/>
    </w:rPr>
  </w:style>
  <w:style w:type="character" w:customStyle="1" w:styleId="TableTitleChar">
    <w:name w:val="Table Title Char"/>
    <w:basedOn w:val="CaptionChar"/>
    <w:link w:val="TableTitle"/>
    <w:rsid w:val="00F17101"/>
    <w:rPr>
      <w:rFonts w:ascii="Arial" w:eastAsia="Times New Roman" w:hAnsi="Arial" w:cs="Times New Roman"/>
      <w:bCs/>
      <w:i/>
      <w:iCs/>
      <w:snapToGrid w:val="0"/>
      <w:color w:val="000000" w:themeColor="text1"/>
      <w:kern w:val="0"/>
      <w:sz w:val="18"/>
      <w:szCs w:val="18"/>
      <w:lang w:eastAsia="en-AU"/>
      <w14:ligatures w14:val="none"/>
    </w:rPr>
  </w:style>
  <w:style w:type="paragraph" w:styleId="TableofFigures">
    <w:name w:val="table of figures"/>
    <w:basedOn w:val="Normal"/>
    <w:next w:val="Normal"/>
    <w:uiPriority w:val="99"/>
    <w:unhideWhenUsed/>
    <w:rsid w:val="00F17101"/>
    <w:pPr>
      <w:widowControl w:val="0"/>
      <w:kinsoku w:val="0"/>
      <w:overflowPunct w:val="0"/>
      <w:adjustRightInd w:val="0"/>
      <w:snapToGrid w:val="0"/>
      <w:spacing w:line="276" w:lineRule="auto"/>
    </w:pPr>
    <w:rPr>
      <w:rFonts w:eastAsia="Calibri" w:cs="Calibri"/>
      <w:bCs/>
      <w:snapToGrid w:val="0"/>
      <w:color w:val="000000"/>
      <w:kern w:val="0"/>
      <w:shd w:val="clear" w:color="auto" w:fill="FFFFFF"/>
      <w:lang w:eastAsia="en-AU"/>
      <w14:ligatures w14:val="none"/>
    </w:rPr>
  </w:style>
  <w:style w:type="character" w:styleId="Emphasis">
    <w:name w:val="Emphasis"/>
    <w:basedOn w:val="DefaultParagraphFont"/>
    <w:uiPriority w:val="20"/>
    <w:qFormat/>
    <w:rsid w:val="00F17101"/>
    <w:rPr>
      <w:i/>
      <w:iCs/>
    </w:rPr>
  </w:style>
  <w:style w:type="character" w:customStyle="1" w:styleId="hlfld-title">
    <w:name w:val="hlfld-title"/>
    <w:basedOn w:val="DefaultParagraphFont"/>
    <w:rsid w:val="00F17101"/>
  </w:style>
  <w:style w:type="character" w:customStyle="1" w:styleId="screenreader-only">
    <w:name w:val="screenreader-only"/>
    <w:basedOn w:val="DefaultParagraphFont"/>
    <w:rsid w:val="00F17101"/>
  </w:style>
  <w:style w:type="character" w:customStyle="1" w:styleId="description">
    <w:name w:val="description"/>
    <w:basedOn w:val="DefaultParagraphFont"/>
    <w:rsid w:val="00F17101"/>
  </w:style>
  <w:style w:type="paragraph" w:customStyle="1" w:styleId="Body-noindent">
    <w:name w:val="Body- no indent"/>
    <w:basedOn w:val="Normal"/>
    <w:qFormat/>
    <w:rsid w:val="00F17101"/>
    <w:pPr>
      <w:widowControl w:val="0"/>
      <w:kinsoku w:val="0"/>
      <w:overflowPunct w:val="0"/>
      <w:adjustRightInd w:val="0"/>
      <w:snapToGrid w:val="0"/>
      <w:ind w:firstLine="0"/>
    </w:pPr>
    <w:rPr>
      <w:rFonts w:eastAsiaTheme="majorEastAsia" w:cs="Arial"/>
      <w:bCs/>
      <w:snapToGrid w:val="0"/>
      <w:color w:val="000000" w:themeColor="text1"/>
      <w:kern w:val="0"/>
      <w:shd w:val="clear" w:color="auto" w:fill="FFFFFF"/>
      <w14:ligatures w14:val="none"/>
    </w:rPr>
  </w:style>
  <w:style w:type="character" w:customStyle="1" w:styleId="points">
    <w:name w:val="points"/>
    <w:basedOn w:val="DefaultParagraphFont"/>
    <w:rsid w:val="00F17101"/>
  </w:style>
  <w:style w:type="character" w:customStyle="1" w:styleId="rangerating">
    <w:name w:val="range_rating"/>
    <w:basedOn w:val="DefaultParagraphFont"/>
    <w:rsid w:val="00F17101"/>
  </w:style>
  <w:style w:type="character" w:customStyle="1" w:styleId="minpoints">
    <w:name w:val="min_points"/>
    <w:basedOn w:val="DefaultParagraphFont"/>
    <w:rsid w:val="00F17101"/>
  </w:style>
  <w:style w:type="character" w:customStyle="1" w:styleId="displaycriterionpoints">
    <w:name w:val="display_criterion_points"/>
    <w:basedOn w:val="DefaultParagraphFont"/>
    <w:rsid w:val="00F17101"/>
  </w:style>
  <w:style w:type="character" w:customStyle="1" w:styleId="rubrictotal">
    <w:name w:val="rubric_total"/>
    <w:basedOn w:val="DefaultParagraphFont"/>
    <w:rsid w:val="00F17101"/>
  </w:style>
  <w:style w:type="character" w:customStyle="1" w:styleId="s1">
    <w:name w:val="s1"/>
    <w:basedOn w:val="DefaultParagraphFont"/>
    <w:rsid w:val="00F17101"/>
  </w:style>
  <w:style w:type="paragraph" w:customStyle="1" w:styleId="msonormal0">
    <w:name w:val="msonormal"/>
    <w:basedOn w:val="Normal"/>
    <w:rsid w:val="00F17101"/>
    <w:pPr>
      <w:widowControl w:val="0"/>
      <w:kinsoku w:val="0"/>
      <w:overflowPunct w:val="0"/>
      <w:adjustRightInd w:val="0"/>
      <w:snapToGrid w:val="0"/>
      <w:spacing w:before="100" w:beforeAutospacing="1" w:after="100" w:afterAutospacing="1" w:line="240" w:lineRule="auto"/>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paragraph" w:customStyle="1" w:styleId="xmsonormal">
    <w:name w:val="x_msonormal"/>
    <w:basedOn w:val="Normal"/>
    <w:rsid w:val="00F17101"/>
    <w:pPr>
      <w:widowControl w:val="0"/>
      <w:kinsoku w:val="0"/>
      <w:overflowPunct w:val="0"/>
      <w:adjustRightInd w:val="0"/>
      <w:snapToGrid w:val="0"/>
      <w:spacing w:before="100" w:beforeAutospacing="1" w:after="100" w:afterAutospacing="1" w:line="240" w:lineRule="auto"/>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character" w:customStyle="1" w:styleId="ms-button-flexcontainer">
    <w:name w:val="ms-button-flexcontainer"/>
    <w:basedOn w:val="DefaultParagraphFont"/>
    <w:rsid w:val="00F17101"/>
  </w:style>
  <w:style w:type="character" w:customStyle="1" w:styleId="xheading4char">
    <w:name w:val="x_heading4char"/>
    <w:basedOn w:val="DefaultParagraphFont"/>
    <w:rsid w:val="00F17101"/>
  </w:style>
  <w:style w:type="character" w:customStyle="1" w:styleId="xheading5char">
    <w:name w:val="x_heading5char"/>
    <w:basedOn w:val="DefaultParagraphFont"/>
    <w:rsid w:val="00F17101"/>
  </w:style>
  <w:style w:type="character" w:customStyle="1" w:styleId="xhlfld-title">
    <w:name w:val="x_hlfld-title"/>
    <w:basedOn w:val="DefaultParagraphFont"/>
    <w:rsid w:val="00F17101"/>
  </w:style>
  <w:style w:type="paragraph" w:customStyle="1" w:styleId="xendnotebibliographytitle">
    <w:name w:val="x_endnotebibliographytitle"/>
    <w:basedOn w:val="Normal"/>
    <w:uiPriority w:val="99"/>
    <w:rsid w:val="00F17101"/>
    <w:pPr>
      <w:widowControl w:val="0"/>
      <w:kinsoku w:val="0"/>
      <w:overflowPunct w:val="0"/>
      <w:adjustRightInd w:val="0"/>
      <w:snapToGrid w:val="0"/>
      <w:spacing w:before="100" w:beforeAutospacing="1" w:after="100" w:afterAutospacing="1" w:line="240" w:lineRule="auto"/>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paragraph" w:customStyle="1" w:styleId="xendnotebibliography">
    <w:name w:val="x_endnotebibliography"/>
    <w:basedOn w:val="Normal"/>
    <w:uiPriority w:val="99"/>
    <w:rsid w:val="00F17101"/>
    <w:pPr>
      <w:widowControl w:val="0"/>
      <w:kinsoku w:val="0"/>
      <w:overflowPunct w:val="0"/>
      <w:adjustRightInd w:val="0"/>
      <w:snapToGrid w:val="0"/>
      <w:spacing w:before="100" w:beforeAutospacing="1" w:after="100" w:afterAutospacing="1" w:line="240" w:lineRule="auto"/>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paragraph" w:customStyle="1" w:styleId="Referencelist">
    <w:name w:val="Reference list"/>
    <w:basedOn w:val="Normal"/>
    <w:link w:val="ReferencelistChar"/>
    <w:qFormat/>
    <w:rsid w:val="00F17101"/>
    <w:pPr>
      <w:widowControl w:val="0"/>
      <w:shd w:val="clear" w:color="auto" w:fill="FFFFFF"/>
      <w:kinsoku w:val="0"/>
      <w:overflowPunct w:val="0"/>
      <w:adjustRightInd w:val="0"/>
      <w:snapToGrid w:val="0"/>
      <w:spacing w:line="240" w:lineRule="auto"/>
      <w:jc w:val="center"/>
    </w:pPr>
    <w:rPr>
      <w:rFonts w:ascii="Calibri" w:eastAsiaTheme="majorEastAsia" w:hAnsi="Calibri" w:cs="Arial"/>
      <w:b/>
      <w:snapToGrid w:val="0"/>
      <w:color w:val="000000"/>
      <w:kern w:val="0"/>
      <w:shd w:val="clear" w:color="auto" w:fill="FFFFFF"/>
      <w14:ligatures w14:val="none"/>
    </w:rPr>
  </w:style>
  <w:style w:type="character" w:customStyle="1" w:styleId="ReferencelistChar">
    <w:name w:val="Reference list Char"/>
    <w:basedOn w:val="DefaultParagraphFont"/>
    <w:link w:val="Referencelist"/>
    <w:rsid w:val="00F17101"/>
    <w:rPr>
      <w:rFonts w:ascii="Calibri" w:eastAsiaTheme="majorEastAsia" w:hAnsi="Calibri" w:cs="Arial"/>
      <w:b/>
      <w:snapToGrid w:val="0"/>
      <w:color w:val="000000"/>
      <w:kern w:val="0"/>
      <w:shd w:val="clear" w:color="auto" w:fill="FFFFFF"/>
      <w14:ligatures w14:val="none"/>
    </w:rPr>
  </w:style>
  <w:style w:type="numbering" w:customStyle="1" w:styleId="CurrentList1">
    <w:name w:val="Current List1"/>
    <w:uiPriority w:val="99"/>
    <w:rsid w:val="00F17101"/>
    <w:pPr>
      <w:numPr>
        <w:numId w:val="4"/>
      </w:numPr>
    </w:pPr>
  </w:style>
  <w:style w:type="paragraph" w:customStyle="1" w:styleId="graph">
    <w:name w:val="graph"/>
    <w:basedOn w:val="Normal"/>
    <w:next w:val="FigureNumber"/>
    <w:link w:val="graphChar"/>
    <w:qFormat/>
    <w:rsid w:val="00F17101"/>
    <w:pPr>
      <w:widowControl w:val="0"/>
      <w:kinsoku w:val="0"/>
      <w:overflowPunct w:val="0"/>
      <w:adjustRightInd w:val="0"/>
      <w:snapToGrid w:val="0"/>
      <w:ind w:firstLine="0"/>
    </w:pPr>
    <w:rPr>
      <w:rFonts w:eastAsiaTheme="majorEastAsia" w:cs="Arial"/>
      <w:bCs/>
      <w:snapToGrid w:val="0"/>
      <w:color w:val="000000" w:themeColor="text1"/>
      <w:kern w:val="0"/>
      <w:shd w:val="clear" w:color="auto" w:fill="FFFFFF"/>
      <w14:ligatures w14:val="none"/>
    </w:rPr>
  </w:style>
  <w:style w:type="paragraph" w:customStyle="1" w:styleId="Default">
    <w:name w:val="Default"/>
    <w:rsid w:val="00F17101"/>
    <w:pPr>
      <w:spacing w:after="0" w:line="240" w:lineRule="auto"/>
    </w:pPr>
    <w:rPr>
      <w:rFonts w:ascii="Noto Sans" w:eastAsia="Calibri" w:hAnsi="Noto Sans" w:cs="Noto Sans"/>
      <w:color w:val="000000"/>
      <w:kern w:val="0"/>
      <w14:ligatures w14:val="none"/>
    </w:rPr>
  </w:style>
  <w:style w:type="character" w:customStyle="1" w:styleId="graphChar">
    <w:name w:val="graph Char"/>
    <w:basedOn w:val="DefaultParagraphFont"/>
    <w:link w:val="graph"/>
    <w:rsid w:val="00F17101"/>
    <w:rPr>
      <w:rFonts w:ascii="Arial" w:eastAsiaTheme="majorEastAsia" w:hAnsi="Arial" w:cs="Arial"/>
      <w:bCs/>
      <w:snapToGrid w:val="0"/>
      <w:color w:val="000000" w:themeColor="text1"/>
      <w:kern w:val="0"/>
      <w14:ligatures w14:val="none"/>
    </w:rPr>
  </w:style>
  <w:style w:type="paragraph" w:customStyle="1" w:styleId="Tablenumber0">
    <w:name w:val="Table number"/>
    <w:basedOn w:val="Normal"/>
    <w:next w:val="Normal"/>
    <w:link w:val="TablenumberChar0"/>
    <w:autoRedefine/>
    <w:qFormat/>
    <w:rsid w:val="00F17101"/>
    <w:pPr>
      <w:widowControl w:val="0"/>
      <w:tabs>
        <w:tab w:val="right" w:leader="dot" w:pos="20129"/>
      </w:tabs>
      <w:kinsoku w:val="0"/>
      <w:overflowPunct w:val="0"/>
      <w:adjustRightInd w:val="0"/>
      <w:snapToGrid w:val="0"/>
      <w:ind w:firstLine="0"/>
    </w:pPr>
    <w:rPr>
      <w:rFonts w:eastAsiaTheme="majorEastAsia" w:cs="Arial"/>
      <w:b/>
      <w:bCs/>
      <w:snapToGrid w:val="0"/>
      <w:color w:val="000000" w:themeColor="text1"/>
      <w:kern w:val="0"/>
      <w:shd w:val="clear" w:color="auto" w:fill="FFFFFF"/>
      <w14:ligatures w14:val="none"/>
    </w:rPr>
  </w:style>
  <w:style w:type="character" w:customStyle="1" w:styleId="TablenumberChar0">
    <w:name w:val="Table number Char"/>
    <w:basedOn w:val="DefaultParagraphFont"/>
    <w:link w:val="Tablenumber0"/>
    <w:rsid w:val="00F17101"/>
    <w:rPr>
      <w:rFonts w:ascii="Arial" w:eastAsiaTheme="majorEastAsia" w:hAnsi="Arial" w:cs="Arial"/>
      <w:b/>
      <w:bCs/>
      <w:snapToGrid w:val="0"/>
      <w:color w:val="000000" w:themeColor="text1"/>
      <w:kern w:val="0"/>
      <w14:ligatures w14:val="none"/>
    </w:rPr>
  </w:style>
  <w:style w:type="character" w:styleId="HTMLCode">
    <w:name w:val="HTML Code"/>
    <w:basedOn w:val="DefaultParagraphFont"/>
    <w:uiPriority w:val="99"/>
    <w:semiHidden/>
    <w:unhideWhenUsed/>
    <w:rsid w:val="00F17101"/>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17101"/>
    <w:rPr>
      <w:color w:val="96607D" w:themeColor="followedHyperlink"/>
      <w:u w:val="single"/>
    </w:rPr>
  </w:style>
  <w:style w:type="paragraph" w:styleId="TOC1">
    <w:name w:val="toc 1"/>
    <w:basedOn w:val="Normal"/>
    <w:next w:val="Normal"/>
    <w:uiPriority w:val="39"/>
    <w:unhideWhenUsed/>
    <w:rsid w:val="00F17101"/>
    <w:pPr>
      <w:widowControl w:val="0"/>
      <w:tabs>
        <w:tab w:val="right" w:leader="dot" w:pos="9016"/>
      </w:tabs>
      <w:kinsoku w:val="0"/>
      <w:overflowPunct w:val="0"/>
      <w:adjustRightInd w:val="0"/>
      <w:snapToGrid w:val="0"/>
      <w:spacing w:after="100" w:line="360" w:lineRule="auto"/>
    </w:pPr>
    <w:rPr>
      <w:rFonts w:asciiTheme="minorHAnsi" w:eastAsiaTheme="minorEastAsia" w:hAnsiTheme="minorHAnsi" w:cs="Arial"/>
      <w:bCs/>
      <w:snapToGrid w:val="0"/>
      <w:color w:val="000000" w:themeColor="text1"/>
      <w:kern w:val="0"/>
      <w:sz w:val="2"/>
      <w:szCs w:val="2"/>
      <w:shd w:val="clear" w:color="auto" w:fill="FFFFFF"/>
      <w:lang w:eastAsia="en-AU"/>
      <w14:ligatures w14:val="none"/>
    </w:rPr>
  </w:style>
  <w:style w:type="paragraph" w:styleId="TOC2">
    <w:name w:val="toc 2"/>
    <w:basedOn w:val="Normal"/>
    <w:next w:val="Normal"/>
    <w:uiPriority w:val="39"/>
    <w:unhideWhenUsed/>
    <w:rsid w:val="00F17101"/>
    <w:pPr>
      <w:widowControl w:val="0"/>
      <w:tabs>
        <w:tab w:val="left" w:pos="1134"/>
        <w:tab w:val="right" w:leader="dot" w:pos="8931"/>
        <w:tab w:val="right" w:leader="dot" w:pos="9016"/>
      </w:tabs>
      <w:kinsoku w:val="0"/>
      <w:overflowPunct w:val="0"/>
      <w:adjustRightInd w:val="0"/>
      <w:snapToGrid w:val="0"/>
      <w:spacing w:line="360" w:lineRule="auto"/>
      <w:ind w:firstLine="0"/>
    </w:pPr>
    <w:rPr>
      <w:rFonts w:eastAsiaTheme="majorEastAsia" w:cs="Arial"/>
      <w:bCs/>
      <w:snapToGrid w:val="0"/>
      <w:color w:val="000000" w:themeColor="text1"/>
      <w:kern w:val="0"/>
      <w:shd w:val="clear" w:color="auto" w:fill="FFFFFF"/>
      <w14:ligatures w14:val="none"/>
    </w:rPr>
  </w:style>
  <w:style w:type="paragraph" w:styleId="TOC3">
    <w:name w:val="toc 3"/>
    <w:basedOn w:val="Normal"/>
    <w:next w:val="Normal"/>
    <w:uiPriority w:val="39"/>
    <w:unhideWhenUsed/>
    <w:rsid w:val="00F17101"/>
    <w:pPr>
      <w:widowControl w:val="0"/>
      <w:tabs>
        <w:tab w:val="left" w:pos="1134"/>
        <w:tab w:val="right" w:leader="dot" w:pos="9026"/>
      </w:tabs>
      <w:kinsoku w:val="0"/>
      <w:overflowPunct w:val="0"/>
      <w:adjustRightInd w:val="0"/>
      <w:snapToGrid w:val="0"/>
      <w:spacing w:line="360" w:lineRule="auto"/>
      <w:ind w:left="480" w:firstLine="0"/>
    </w:pPr>
    <w:rPr>
      <w:rFonts w:eastAsiaTheme="majorEastAsia" w:cs="Arial"/>
      <w:bCs/>
      <w:snapToGrid w:val="0"/>
      <w:color w:val="000000" w:themeColor="text1"/>
      <w:kern w:val="0"/>
      <w:shd w:val="clear" w:color="auto" w:fill="FFFFFF"/>
      <w14:ligatures w14:val="none"/>
    </w:rPr>
  </w:style>
  <w:style w:type="paragraph" w:styleId="TOCHeading">
    <w:name w:val="TOC Heading"/>
    <w:basedOn w:val="Heading1"/>
    <w:next w:val="Normal"/>
    <w:uiPriority w:val="39"/>
    <w:unhideWhenUsed/>
    <w:qFormat/>
    <w:rsid w:val="00F17101"/>
    <w:pPr>
      <w:keepNext w:val="0"/>
      <w:keepLines w:val="0"/>
      <w:widowControl w:val="0"/>
      <w:kinsoku w:val="0"/>
      <w:overflowPunct w:val="0"/>
      <w:adjustRightInd w:val="0"/>
      <w:snapToGrid w:val="0"/>
      <w:spacing w:before="240" w:after="0" w:line="256" w:lineRule="auto"/>
      <w:ind w:firstLine="0"/>
      <w:outlineLvl w:val="9"/>
    </w:pPr>
    <w:rPr>
      <w:rFonts w:cs="Arial"/>
      <w:bCs/>
      <w:snapToGrid w:val="0"/>
      <w:kern w:val="0"/>
      <w:sz w:val="32"/>
      <w:szCs w:val="24"/>
      <w:shd w:val="clear" w:color="auto" w:fill="FFFFFF"/>
      <w:lang w:val="en-US"/>
      <w14:ligatures w14:val="none"/>
    </w:rPr>
  </w:style>
  <w:style w:type="paragraph" w:customStyle="1" w:styleId="Appendix">
    <w:name w:val="Appendix"/>
    <w:basedOn w:val="Heading3"/>
    <w:next w:val="Normal"/>
    <w:uiPriority w:val="99"/>
    <w:qFormat/>
    <w:rsid w:val="00F17101"/>
    <w:pPr>
      <w:keepNext w:val="0"/>
      <w:keepLines w:val="0"/>
      <w:widowControl w:val="0"/>
      <w:kinsoku w:val="0"/>
      <w:overflowPunct w:val="0"/>
      <w:adjustRightInd w:val="0"/>
      <w:snapToGrid w:val="0"/>
      <w:spacing w:before="0" w:after="0"/>
      <w:ind w:firstLine="0"/>
      <w:contextualSpacing/>
      <w:jc w:val="center"/>
    </w:pPr>
    <w:rPr>
      <w:rFonts w:ascii="Arial" w:eastAsia="Times New Roman" w:hAnsi="Arial" w:cs="Arial"/>
      <w:b/>
      <w:bCs/>
      <w:color w:val="000000" w:themeColor="text1"/>
      <w:kern w:val="0"/>
      <w:sz w:val="24"/>
      <w:szCs w:val="24"/>
      <w:shd w:val="clear" w:color="auto" w:fill="FFFFFF"/>
      <w:lang w:eastAsia="en-AU"/>
      <w14:ligatures w14:val="none"/>
    </w:rPr>
  </w:style>
  <w:style w:type="character" w:styleId="PlaceholderText">
    <w:name w:val="Placeholder Text"/>
    <w:basedOn w:val="DefaultParagraphFont"/>
    <w:uiPriority w:val="99"/>
    <w:semiHidden/>
    <w:rsid w:val="00F17101"/>
    <w:rPr>
      <w:color w:val="808080"/>
    </w:rPr>
  </w:style>
  <w:style w:type="character" w:customStyle="1" w:styleId="normaltextrun">
    <w:name w:val="normaltextrun"/>
    <w:basedOn w:val="DefaultParagraphFont"/>
    <w:rsid w:val="00F17101"/>
  </w:style>
  <w:style w:type="character" w:customStyle="1" w:styleId="eop">
    <w:name w:val="eop"/>
    <w:basedOn w:val="DefaultParagraphFont"/>
    <w:rsid w:val="00F17101"/>
  </w:style>
  <w:style w:type="paragraph" w:customStyle="1" w:styleId="paragraph">
    <w:name w:val="paragraph"/>
    <w:basedOn w:val="Normal"/>
    <w:rsid w:val="00F17101"/>
    <w:pPr>
      <w:widowControl w:val="0"/>
      <w:kinsoku w:val="0"/>
      <w:overflowPunct w:val="0"/>
      <w:adjustRightInd w:val="0"/>
      <w:snapToGrid w:val="0"/>
      <w:spacing w:before="100" w:beforeAutospacing="1" w:after="100" w:afterAutospacing="1" w:line="240" w:lineRule="auto"/>
      <w:ind w:firstLine="0"/>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paragraph" w:styleId="PlainText">
    <w:name w:val="Plain Text"/>
    <w:basedOn w:val="Normal"/>
    <w:link w:val="PlainTextChar"/>
    <w:uiPriority w:val="99"/>
    <w:semiHidden/>
    <w:unhideWhenUsed/>
    <w:rsid w:val="00F17101"/>
    <w:pPr>
      <w:widowControl w:val="0"/>
      <w:kinsoku w:val="0"/>
      <w:overflowPunct w:val="0"/>
      <w:adjustRightInd w:val="0"/>
      <w:snapToGrid w:val="0"/>
      <w:spacing w:line="240" w:lineRule="auto"/>
      <w:ind w:firstLine="0"/>
    </w:pPr>
    <w:rPr>
      <w:rFonts w:ascii="Century Gothic" w:eastAsiaTheme="majorEastAsia" w:hAnsi="Century Gothic" w:cs="Arial"/>
      <w:bCs/>
      <w:snapToGrid w:val="0"/>
      <w:color w:val="000000" w:themeColor="text1"/>
      <w:kern w:val="0"/>
      <w:sz w:val="21"/>
      <w:szCs w:val="21"/>
      <w:shd w:val="clear" w:color="auto" w:fill="FFFFFF"/>
      <w14:ligatures w14:val="none"/>
    </w:rPr>
  </w:style>
  <w:style w:type="character" w:customStyle="1" w:styleId="PlainTextChar">
    <w:name w:val="Plain Text Char"/>
    <w:basedOn w:val="DefaultParagraphFont"/>
    <w:link w:val="PlainText"/>
    <w:uiPriority w:val="99"/>
    <w:semiHidden/>
    <w:rsid w:val="00F17101"/>
    <w:rPr>
      <w:rFonts w:ascii="Century Gothic" w:eastAsiaTheme="majorEastAsia" w:hAnsi="Century Gothic" w:cs="Arial"/>
      <w:bCs/>
      <w:snapToGrid w:val="0"/>
      <w:color w:val="000000" w:themeColor="text1"/>
      <w:kern w:val="0"/>
      <w:sz w:val="21"/>
      <w:szCs w:val="21"/>
      <w14:ligatures w14:val="none"/>
    </w:rPr>
  </w:style>
  <w:style w:type="paragraph" w:customStyle="1" w:styleId="p">
    <w:name w:val="p"/>
    <w:basedOn w:val="Normal"/>
    <w:rsid w:val="00F17101"/>
    <w:pPr>
      <w:widowControl w:val="0"/>
      <w:kinsoku w:val="0"/>
      <w:overflowPunct w:val="0"/>
      <w:adjustRightInd w:val="0"/>
      <w:snapToGrid w:val="0"/>
      <w:spacing w:before="100" w:beforeAutospacing="1" w:after="100" w:afterAutospacing="1" w:line="240" w:lineRule="auto"/>
      <w:ind w:firstLine="0"/>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paragraph" w:customStyle="1" w:styleId="TODO">
    <w:name w:val="TO DO"/>
    <w:basedOn w:val="Normal"/>
    <w:link w:val="TODOChar"/>
    <w:qFormat/>
    <w:rsid w:val="00F17101"/>
    <w:pPr>
      <w:widowControl w:val="0"/>
      <w:shd w:val="clear" w:color="auto" w:fill="FFFF00"/>
      <w:kinsoku w:val="0"/>
      <w:overflowPunct w:val="0"/>
      <w:adjustRightInd w:val="0"/>
      <w:snapToGrid w:val="0"/>
      <w:spacing w:line="240" w:lineRule="auto"/>
      <w:ind w:firstLine="0"/>
    </w:pPr>
    <w:rPr>
      <w:rFonts w:ascii="Century Gothic" w:eastAsiaTheme="majorEastAsia" w:hAnsi="Century Gothic" w:cs="Calibri"/>
      <w:b/>
      <w:bCs/>
      <w:caps/>
      <w:snapToGrid w:val="0"/>
      <w:color w:val="FF0000"/>
      <w:kern w:val="0"/>
      <w:sz w:val="22"/>
      <w:shd w:val="clear" w:color="auto" w:fill="FFFFFF"/>
      <w14:ligatures w14:val="none"/>
    </w:rPr>
  </w:style>
  <w:style w:type="character" w:customStyle="1" w:styleId="TODOChar">
    <w:name w:val="TO DO Char"/>
    <w:basedOn w:val="DefaultParagraphFont"/>
    <w:link w:val="TODO"/>
    <w:rsid w:val="00F17101"/>
    <w:rPr>
      <w:rFonts w:ascii="Century Gothic" w:eastAsiaTheme="majorEastAsia" w:hAnsi="Century Gothic" w:cs="Calibri"/>
      <w:b/>
      <w:bCs/>
      <w:caps/>
      <w:snapToGrid w:val="0"/>
      <w:color w:val="FF0000"/>
      <w:kern w:val="0"/>
      <w:sz w:val="22"/>
      <w:shd w:val="clear" w:color="auto" w:fill="FFFF00"/>
      <w14:ligatures w14:val="none"/>
    </w:rPr>
  </w:style>
  <w:style w:type="paragraph" w:customStyle="1" w:styleId="xl63">
    <w:name w:val="xl63"/>
    <w:basedOn w:val="Normal"/>
    <w:rsid w:val="00F17101"/>
    <w:pPr>
      <w:widowControl w:val="0"/>
      <w:pBdr>
        <w:bottom w:val="single" w:sz="8" w:space="0" w:color="auto"/>
        <w:right w:val="single" w:sz="8" w:space="0" w:color="auto"/>
      </w:pBdr>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themeColor="text1"/>
      <w:kern w:val="0"/>
      <w:shd w:val="clear" w:color="auto" w:fill="FFFFFF"/>
      <w:lang w:eastAsia="en-AU"/>
      <w14:ligatures w14:val="none"/>
    </w:rPr>
  </w:style>
  <w:style w:type="paragraph" w:customStyle="1" w:styleId="xl64">
    <w:name w:val="xl64"/>
    <w:basedOn w:val="Normal"/>
    <w:rsid w:val="00F17101"/>
    <w:pPr>
      <w:widowControl w:val="0"/>
      <w:pBdr>
        <w:left w:val="single" w:sz="8" w:space="0" w:color="auto"/>
        <w:bottom w:val="single" w:sz="8" w:space="0" w:color="auto"/>
        <w:right w:val="single" w:sz="8" w:space="0" w:color="auto"/>
      </w:pBdr>
      <w:shd w:val="clear" w:color="000000" w:fill="C5E0B3"/>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65">
    <w:name w:val="xl65"/>
    <w:basedOn w:val="Normal"/>
    <w:rsid w:val="00F17101"/>
    <w:pPr>
      <w:widowControl w:val="0"/>
      <w:pBdr>
        <w:bottom w:val="single" w:sz="8" w:space="0" w:color="auto"/>
        <w:right w:val="single" w:sz="8" w:space="0" w:color="auto"/>
      </w:pBdr>
      <w:shd w:val="clear" w:color="000000" w:fill="D9D9D9"/>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66">
    <w:name w:val="xl66"/>
    <w:basedOn w:val="Normal"/>
    <w:rsid w:val="00F17101"/>
    <w:pPr>
      <w:widowControl w:val="0"/>
      <w:pBdr>
        <w:bottom w:val="single" w:sz="8" w:space="0" w:color="auto"/>
        <w:right w:val="single" w:sz="8" w:space="0" w:color="auto"/>
      </w:pBdr>
      <w:shd w:val="clear" w:color="000000" w:fill="FFFFFF"/>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themeColor="text1"/>
      <w:kern w:val="0"/>
      <w:shd w:val="clear" w:color="auto" w:fill="FFFFFF"/>
      <w:lang w:eastAsia="en-AU"/>
      <w14:ligatures w14:val="none"/>
    </w:rPr>
  </w:style>
  <w:style w:type="paragraph" w:customStyle="1" w:styleId="xl67">
    <w:name w:val="xl67"/>
    <w:basedOn w:val="Normal"/>
    <w:rsid w:val="00F17101"/>
    <w:pPr>
      <w:widowControl w:val="0"/>
      <w:pBdr>
        <w:top w:val="single" w:sz="8" w:space="0" w:color="auto"/>
        <w:bottom w:val="single" w:sz="8" w:space="0" w:color="auto"/>
        <w:right w:val="single" w:sz="8" w:space="0" w:color="auto"/>
      </w:pBdr>
      <w:shd w:val="clear" w:color="000000" w:fill="0070C0"/>
      <w:kinsoku w:val="0"/>
      <w:overflowPunct w:val="0"/>
      <w:adjustRightInd w:val="0"/>
      <w:snapToGrid w:val="0"/>
      <w:spacing w:before="100" w:beforeAutospacing="1" w:after="100" w:afterAutospacing="1" w:line="240" w:lineRule="auto"/>
      <w:ind w:firstLine="0"/>
      <w:jc w:val="center"/>
      <w:textAlignment w:val="center"/>
    </w:pPr>
    <w:rPr>
      <w:rFonts w:eastAsia="Times New Roman" w:cs="Arial"/>
      <w:b/>
      <w:snapToGrid w:val="0"/>
      <w:color w:val="FFFFFF"/>
      <w:kern w:val="0"/>
      <w:sz w:val="28"/>
      <w:szCs w:val="28"/>
      <w:shd w:val="clear" w:color="auto" w:fill="FFFFFF"/>
      <w:lang w:eastAsia="en-AU"/>
      <w14:ligatures w14:val="none"/>
    </w:rPr>
  </w:style>
  <w:style w:type="paragraph" w:customStyle="1" w:styleId="xl68">
    <w:name w:val="xl68"/>
    <w:basedOn w:val="Normal"/>
    <w:rsid w:val="00F17101"/>
    <w:pPr>
      <w:widowControl w:val="0"/>
      <w:kinsoku w:val="0"/>
      <w:overflowPunct w:val="0"/>
      <w:adjustRightInd w:val="0"/>
      <w:snapToGrid w:val="0"/>
      <w:spacing w:before="100" w:beforeAutospacing="1" w:after="100" w:afterAutospacing="1" w:line="240" w:lineRule="auto"/>
      <w:ind w:firstLine="0"/>
    </w:pPr>
    <w:rPr>
      <w:rFonts w:ascii="Times New Roman" w:eastAsia="Times New Roman" w:hAnsi="Times New Roman" w:cs="Times New Roman"/>
      <w:b/>
      <w:snapToGrid w:val="0"/>
      <w:color w:val="000000" w:themeColor="text1"/>
      <w:kern w:val="0"/>
      <w:sz w:val="28"/>
      <w:szCs w:val="28"/>
      <w:shd w:val="clear" w:color="auto" w:fill="FFFFFF"/>
      <w:lang w:eastAsia="en-AU"/>
      <w14:ligatures w14:val="none"/>
    </w:rPr>
  </w:style>
  <w:style w:type="paragraph" w:customStyle="1" w:styleId="xl69">
    <w:name w:val="xl69"/>
    <w:basedOn w:val="Normal"/>
    <w:rsid w:val="00F17101"/>
    <w:pPr>
      <w:widowControl w:val="0"/>
      <w:pBdr>
        <w:bottom w:val="single" w:sz="8" w:space="0" w:color="auto"/>
        <w:right w:val="single" w:sz="8" w:space="0" w:color="auto"/>
      </w:pBdr>
      <w:shd w:val="clear" w:color="000000" w:fill="0070C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z w:val="28"/>
      <w:szCs w:val="28"/>
      <w:shd w:val="clear" w:color="auto" w:fill="FFFFFF"/>
      <w:lang w:eastAsia="en-AU"/>
      <w14:ligatures w14:val="none"/>
    </w:rPr>
  </w:style>
  <w:style w:type="paragraph" w:customStyle="1" w:styleId="xl70">
    <w:name w:val="xl70"/>
    <w:basedOn w:val="Normal"/>
    <w:rsid w:val="00F17101"/>
    <w:pPr>
      <w:widowControl w:val="0"/>
      <w:pBdr>
        <w:bottom w:val="single" w:sz="8" w:space="0" w:color="auto"/>
        <w:right w:val="single" w:sz="8" w:space="0" w:color="auto"/>
      </w:pBdr>
      <w:shd w:val="clear" w:color="000000" w:fill="E7E6E6"/>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kern w:val="0"/>
      <w:sz w:val="28"/>
      <w:szCs w:val="28"/>
      <w:shd w:val="clear" w:color="auto" w:fill="FFFFFF"/>
      <w:lang w:eastAsia="en-AU"/>
      <w14:ligatures w14:val="none"/>
    </w:rPr>
  </w:style>
  <w:style w:type="paragraph" w:customStyle="1" w:styleId="xl71">
    <w:name w:val="xl71"/>
    <w:basedOn w:val="Normal"/>
    <w:rsid w:val="00F17101"/>
    <w:pPr>
      <w:widowControl w:val="0"/>
      <w:pBdr>
        <w:bottom w:val="single" w:sz="8" w:space="0" w:color="auto"/>
        <w:right w:val="single" w:sz="8" w:space="0" w:color="auto"/>
      </w:pBdr>
      <w:shd w:val="clear" w:color="000000" w:fill="F4B083"/>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kern w:val="0"/>
      <w:sz w:val="28"/>
      <w:szCs w:val="28"/>
      <w:shd w:val="clear" w:color="auto" w:fill="FFFFFF"/>
      <w:lang w:eastAsia="en-AU"/>
      <w14:ligatures w14:val="none"/>
    </w:rPr>
  </w:style>
  <w:style w:type="paragraph" w:customStyle="1" w:styleId="xl72">
    <w:name w:val="xl72"/>
    <w:basedOn w:val="Normal"/>
    <w:rsid w:val="00F17101"/>
    <w:pPr>
      <w:widowControl w:val="0"/>
      <w:pBdr>
        <w:bottom w:val="single" w:sz="8" w:space="0" w:color="auto"/>
        <w:right w:val="single" w:sz="8" w:space="0" w:color="auto"/>
      </w:pBdr>
      <w:shd w:val="clear" w:color="000000" w:fill="E7E6E6"/>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73">
    <w:name w:val="xl73"/>
    <w:basedOn w:val="Normal"/>
    <w:rsid w:val="00F17101"/>
    <w:pPr>
      <w:widowControl w:val="0"/>
      <w:pBdr>
        <w:bottom w:val="single" w:sz="8" w:space="0" w:color="auto"/>
        <w:right w:val="single" w:sz="8" w:space="0" w:color="auto"/>
      </w:pBdr>
      <w:shd w:val="clear" w:color="000000" w:fill="D17777"/>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themeColor="text1"/>
      <w:kern w:val="0"/>
      <w:shd w:val="clear" w:color="auto" w:fill="FFFFFF"/>
      <w:lang w:eastAsia="en-AU"/>
      <w14:ligatures w14:val="none"/>
    </w:rPr>
  </w:style>
  <w:style w:type="paragraph" w:customStyle="1" w:styleId="xl74">
    <w:name w:val="xl74"/>
    <w:basedOn w:val="Normal"/>
    <w:rsid w:val="00F17101"/>
    <w:pPr>
      <w:widowControl w:val="0"/>
      <w:pBdr>
        <w:bottom w:val="single" w:sz="8" w:space="0" w:color="auto"/>
        <w:right w:val="single" w:sz="8" w:space="0" w:color="auto"/>
      </w:pBdr>
      <w:shd w:val="clear" w:color="000000" w:fill="C070CC"/>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themeColor="text1"/>
      <w:kern w:val="0"/>
      <w:shd w:val="clear" w:color="auto" w:fill="FFFFFF"/>
      <w:lang w:eastAsia="en-AU"/>
      <w14:ligatures w14:val="none"/>
    </w:rPr>
  </w:style>
  <w:style w:type="paragraph" w:customStyle="1" w:styleId="xl75">
    <w:name w:val="xl75"/>
    <w:basedOn w:val="Normal"/>
    <w:rsid w:val="00F17101"/>
    <w:pPr>
      <w:widowControl w:val="0"/>
      <w:pBdr>
        <w:left w:val="single" w:sz="8" w:space="0" w:color="auto"/>
        <w:bottom w:val="single" w:sz="8" w:space="0" w:color="auto"/>
        <w:right w:val="single" w:sz="8" w:space="0" w:color="auto"/>
      </w:pBdr>
      <w:shd w:val="clear" w:color="000000" w:fill="C070CC"/>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76">
    <w:name w:val="xl76"/>
    <w:basedOn w:val="Normal"/>
    <w:rsid w:val="00F17101"/>
    <w:pPr>
      <w:widowControl w:val="0"/>
      <w:pBdr>
        <w:bottom w:val="single" w:sz="8" w:space="0" w:color="auto"/>
        <w:right w:val="single" w:sz="8" w:space="0" w:color="auto"/>
      </w:pBdr>
      <w:shd w:val="clear" w:color="000000" w:fill="C070CC"/>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77">
    <w:name w:val="xl77"/>
    <w:basedOn w:val="Normal"/>
    <w:rsid w:val="00F17101"/>
    <w:pPr>
      <w:widowControl w:val="0"/>
      <w:pBdr>
        <w:bottom w:val="single" w:sz="8" w:space="0" w:color="auto"/>
        <w:right w:val="single" w:sz="8" w:space="0" w:color="auto"/>
      </w:pBdr>
      <w:shd w:val="clear" w:color="000000" w:fill="C070CC"/>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78">
    <w:name w:val="xl78"/>
    <w:basedOn w:val="Normal"/>
    <w:rsid w:val="00F17101"/>
    <w:pPr>
      <w:widowControl w:val="0"/>
      <w:pBdr>
        <w:bottom w:val="single" w:sz="8" w:space="0" w:color="auto"/>
        <w:right w:val="single" w:sz="8" w:space="0" w:color="auto"/>
      </w:pBdr>
      <w:shd w:val="clear" w:color="000000" w:fill="C070CC"/>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79">
    <w:name w:val="xl79"/>
    <w:basedOn w:val="Normal"/>
    <w:rsid w:val="00F17101"/>
    <w:pPr>
      <w:widowControl w:val="0"/>
      <w:pBdr>
        <w:left w:val="single" w:sz="8" w:space="0" w:color="auto"/>
        <w:bottom w:val="single" w:sz="8" w:space="0" w:color="auto"/>
        <w:right w:val="single" w:sz="8" w:space="0" w:color="auto"/>
      </w:pBdr>
      <w:shd w:val="clear" w:color="000000" w:fill="D17777"/>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80">
    <w:name w:val="xl80"/>
    <w:basedOn w:val="Normal"/>
    <w:rsid w:val="00F17101"/>
    <w:pPr>
      <w:widowControl w:val="0"/>
      <w:pBdr>
        <w:bottom w:val="single" w:sz="8" w:space="0" w:color="auto"/>
        <w:right w:val="single" w:sz="8" w:space="0" w:color="auto"/>
      </w:pBdr>
      <w:shd w:val="clear" w:color="000000" w:fill="D17777"/>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81">
    <w:name w:val="xl81"/>
    <w:basedOn w:val="Normal"/>
    <w:rsid w:val="00F17101"/>
    <w:pPr>
      <w:widowControl w:val="0"/>
      <w:pBdr>
        <w:bottom w:val="single" w:sz="8" w:space="0" w:color="auto"/>
        <w:right w:val="single" w:sz="8" w:space="0" w:color="auto"/>
      </w:pBdr>
      <w:shd w:val="clear" w:color="000000" w:fill="D17777"/>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82">
    <w:name w:val="xl82"/>
    <w:basedOn w:val="Normal"/>
    <w:rsid w:val="00F17101"/>
    <w:pPr>
      <w:widowControl w:val="0"/>
      <w:pBdr>
        <w:left w:val="single" w:sz="8" w:space="0" w:color="auto"/>
        <w:bottom w:val="single" w:sz="8" w:space="0" w:color="auto"/>
        <w:right w:val="single" w:sz="8" w:space="0" w:color="auto"/>
      </w:pBdr>
      <w:shd w:val="clear" w:color="000000" w:fill="00B0F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83">
    <w:name w:val="xl83"/>
    <w:basedOn w:val="Normal"/>
    <w:rsid w:val="00F17101"/>
    <w:pPr>
      <w:widowControl w:val="0"/>
      <w:pBdr>
        <w:bottom w:val="single" w:sz="8" w:space="0" w:color="auto"/>
        <w:right w:val="single" w:sz="8" w:space="0" w:color="auto"/>
      </w:pBdr>
      <w:shd w:val="clear" w:color="000000" w:fill="00B0F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84">
    <w:name w:val="xl84"/>
    <w:basedOn w:val="Normal"/>
    <w:rsid w:val="00F17101"/>
    <w:pPr>
      <w:widowControl w:val="0"/>
      <w:pBdr>
        <w:bottom w:val="single" w:sz="8" w:space="0" w:color="auto"/>
        <w:right w:val="single" w:sz="8" w:space="0" w:color="auto"/>
      </w:pBdr>
      <w:shd w:val="clear" w:color="000000" w:fill="00B0F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85">
    <w:name w:val="xl85"/>
    <w:basedOn w:val="Normal"/>
    <w:rsid w:val="00F17101"/>
    <w:pPr>
      <w:widowControl w:val="0"/>
      <w:pBdr>
        <w:bottom w:val="single" w:sz="8" w:space="0" w:color="auto"/>
        <w:right w:val="single" w:sz="8" w:space="0" w:color="auto"/>
      </w:pBdr>
      <w:shd w:val="clear" w:color="000000" w:fill="00B0F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86">
    <w:name w:val="xl86"/>
    <w:basedOn w:val="Normal"/>
    <w:rsid w:val="00F17101"/>
    <w:pPr>
      <w:widowControl w:val="0"/>
      <w:pBdr>
        <w:bottom w:val="single" w:sz="8" w:space="0" w:color="auto"/>
        <w:right w:val="single" w:sz="8" w:space="0" w:color="auto"/>
      </w:pBdr>
      <w:shd w:val="clear" w:color="000000" w:fill="00B0F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themeColor="text1"/>
      <w:kern w:val="0"/>
      <w:shd w:val="clear" w:color="auto" w:fill="FFFFFF"/>
      <w:lang w:eastAsia="en-AU"/>
      <w14:ligatures w14:val="none"/>
    </w:rPr>
  </w:style>
  <w:style w:type="paragraph" w:customStyle="1" w:styleId="xl87">
    <w:name w:val="xl87"/>
    <w:basedOn w:val="Normal"/>
    <w:rsid w:val="00F17101"/>
    <w:pPr>
      <w:widowControl w:val="0"/>
      <w:pBdr>
        <w:bottom w:val="single" w:sz="8" w:space="0" w:color="auto"/>
        <w:right w:val="single" w:sz="8" w:space="0" w:color="auto"/>
      </w:pBdr>
      <w:shd w:val="clear" w:color="000000" w:fill="66F00A"/>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themeColor="text1"/>
      <w:kern w:val="0"/>
      <w:shd w:val="clear" w:color="auto" w:fill="FFFFFF"/>
      <w:lang w:eastAsia="en-AU"/>
      <w14:ligatures w14:val="none"/>
    </w:rPr>
  </w:style>
  <w:style w:type="paragraph" w:customStyle="1" w:styleId="xl88">
    <w:name w:val="xl88"/>
    <w:basedOn w:val="Normal"/>
    <w:rsid w:val="00F17101"/>
    <w:pPr>
      <w:widowControl w:val="0"/>
      <w:pBdr>
        <w:bottom w:val="single" w:sz="8" w:space="0" w:color="auto"/>
        <w:right w:val="single" w:sz="8" w:space="0" w:color="auto"/>
      </w:pBdr>
      <w:shd w:val="clear" w:color="000000" w:fill="66F00A"/>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89">
    <w:name w:val="xl89"/>
    <w:basedOn w:val="Normal"/>
    <w:rsid w:val="00F17101"/>
    <w:pPr>
      <w:widowControl w:val="0"/>
      <w:pBdr>
        <w:left w:val="single" w:sz="8" w:space="0" w:color="auto"/>
        <w:bottom w:val="single" w:sz="8" w:space="0" w:color="auto"/>
        <w:right w:val="single" w:sz="8" w:space="0" w:color="auto"/>
      </w:pBdr>
      <w:shd w:val="clear" w:color="000000" w:fill="FFFF0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90">
    <w:name w:val="xl90"/>
    <w:basedOn w:val="Normal"/>
    <w:rsid w:val="00F17101"/>
    <w:pPr>
      <w:widowControl w:val="0"/>
      <w:pBdr>
        <w:bottom w:val="single" w:sz="8" w:space="0" w:color="auto"/>
        <w:right w:val="single" w:sz="8" w:space="0" w:color="auto"/>
      </w:pBdr>
      <w:shd w:val="clear" w:color="000000" w:fill="FFFF0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91">
    <w:name w:val="xl91"/>
    <w:basedOn w:val="Normal"/>
    <w:rsid w:val="00F17101"/>
    <w:pPr>
      <w:widowControl w:val="0"/>
      <w:pBdr>
        <w:bottom w:val="single" w:sz="8" w:space="0" w:color="auto"/>
        <w:right w:val="single" w:sz="8" w:space="0" w:color="auto"/>
      </w:pBdr>
      <w:shd w:val="clear" w:color="000000" w:fill="FFFF0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l92">
    <w:name w:val="xl92"/>
    <w:basedOn w:val="Normal"/>
    <w:rsid w:val="00F17101"/>
    <w:pPr>
      <w:widowControl w:val="0"/>
      <w:pBdr>
        <w:bottom w:val="single" w:sz="8" w:space="0" w:color="auto"/>
        <w:right w:val="single" w:sz="8" w:space="0" w:color="auto"/>
      </w:pBdr>
      <w:shd w:val="clear" w:color="000000" w:fill="FFFF00"/>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themeColor="text1"/>
      <w:kern w:val="0"/>
      <w:shd w:val="clear" w:color="auto" w:fill="FFFFFF"/>
      <w:lang w:eastAsia="en-AU"/>
      <w14:ligatures w14:val="none"/>
    </w:rPr>
  </w:style>
  <w:style w:type="paragraph" w:customStyle="1" w:styleId="xl93">
    <w:name w:val="xl93"/>
    <w:basedOn w:val="Normal"/>
    <w:rsid w:val="00F17101"/>
    <w:pPr>
      <w:widowControl w:val="0"/>
      <w:shd w:val="clear" w:color="000000" w:fill="FFFF00"/>
      <w:kinsoku w:val="0"/>
      <w:overflowPunct w:val="0"/>
      <w:adjustRightInd w:val="0"/>
      <w:snapToGrid w:val="0"/>
      <w:spacing w:before="100" w:beforeAutospacing="1" w:after="100" w:afterAutospacing="1" w:line="240" w:lineRule="auto"/>
      <w:ind w:firstLine="0"/>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paragraph" w:customStyle="1" w:styleId="xl94">
    <w:name w:val="xl94"/>
    <w:basedOn w:val="Normal"/>
    <w:rsid w:val="00F17101"/>
    <w:pPr>
      <w:widowControl w:val="0"/>
      <w:pBdr>
        <w:left w:val="single" w:sz="8" w:space="0" w:color="auto"/>
        <w:bottom w:val="single" w:sz="8" w:space="0" w:color="auto"/>
        <w:right w:val="single" w:sz="8" w:space="0" w:color="auto"/>
      </w:pBdr>
      <w:shd w:val="clear" w:color="000000" w:fill="F4B083"/>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kern w:val="0"/>
      <w:sz w:val="28"/>
      <w:szCs w:val="28"/>
      <w:shd w:val="clear" w:color="auto" w:fill="FFFFFF"/>
      <w:lang w:eastAsia="en-AU"/>
      <w14:ligatures w14:val="none"/>
    </w:rPr>
  </w:style>
  <w:style w:type="paragraph" w:customStyle="1" w:styleId="xl95">
    <w:name w:val="xl95"/>
    <w:basedOn w:val="Normal"/>
    <w:rsid w:val="00F17101"/>
    <w:pPr>
      <w:widowControl w:val="0"/>
      <w:pBdr>
        <w:bottom w:val="single" w:sz="8" w:space="0" w:color="auto"/>
        <w:right w:val="single" w:sz="8" w:space="0" w:color="auto"/>
      </w:pBdr>
      <w:shd w:val="clear" w:color="000000" w:fill="F4B083"/>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kern w:val="0"/>
      <w:sz w:val="28"/>
      <w:szCs w:val="28"/>
      <w:shd w:val="clear" w:color="auto" w:fill="FFFFFF"/>
      <w:lang w:eastAsia="en-AU"/>
      <w14:ligatures w14:val="none"/>
    </w:rPr>
  </w:style>
  <w:style w:type="paragraph" w:customStyle="1" w:styleId="xl96">
    <w:name w:val="xl96"/>
    <w:basedOn w:val="Normal"/>
    <w:rsid w:val="00F17101"/>
    <w:pPr>
      <w:widowControl w:val="0"/>
      <w:pBdr>
        <w:bottom w:val="single" w:sz="8" w:space="0" w:color="auto"/>
        <w:right w:val="single" w:sz="8" w:space="0" w:color="auto"/>
      </w:pBdr>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kern w:val="0"/>
      <w:sz w:val="28"/>
      <w:szCs w:val="28"/>
      <w:shd w:val="clear" w:color="auto" w:fill="FFFFFF"/>
      <w:lang w:eastAsia="en-AU"/>
      <w14:ligatures w14:val="none"/>
    </w:rPr>
  </w:style>
  <w:style w:type="paragraph" w:customStyle="1" w:styleId="xl97">
    <w:name w:val="xl97"/>
    <w:basedOn w:val="Normal"/>
    <w:rsid w:val="00F17101"/>
    <w:pPr>
      <w:widowControl w:val="0"/>
      <w:pBdr>
        <w:top w:val="single" w:sz="8" w:space="0" w:color="auto"/>
        <w:left w:val="single" w:sz="8" w:space="0" w:color="auto"/>
        <w:bottom w:val="single" w:sz="8" w:space="0" w:color="auto"/>
      </w:pBdr>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themeColor="text1"/>
      <w:kern w:val="0"/>
      <w:shd w:val="clear" w:color="auto" w:fill="FFFFFF"/>
      <w:lang w:eastAsia="en-AU"/>
      <w14:ligatures w14:val="none"/>
    </w:rPr>
  </w:style>
  <w:style w:type="paragraph" w:customStyle="1" w:styleId="xl98">
    <w:name w:val="xl98"/>
    <w:basedOn w:val="Normal"/>
    <w:rsid w:val="00F17101"/>
    <w:pPr>
      <w:widowControl w:val="0"/>
      <w:pBdr>
        <w:top w:val="single" w:sz="8" w:space="0" w:color="auto"/>
        <w:bottom w:val="single" w:sz="8" w:space="0" w:color="auto"/>
      </w:pBdr>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themeColor="text1"/>
      <w:kern w:val="0"/>
      <w:shd w:val="clear" w:color="auto" w:fill="FFFFFF"/>
      <w:lang w:eastAsia="en-AU"/>
      <w14:ligatures w14:val="none"/>
    </w:rPr>
  </w:style>
  <w:style w:type="paragraph" w:customStyle="1" w:styleId="xl99">
    <w:name w:val="xl99"/>
    <w:basedOn w:val="Normal"/>
    <w:rsid w:val="00F17101"/>
    <w:pPr>
      <w:widowControl w:val="0"/>
      <w:pBdr>
        <w:top w:val="single" w:sz="8" w:space="0" w:color="auto"/>
        <w:bottom w:val="single" w:sz="8" w:space="0" w:color="auto"/>
        <w:right w:val="single" w:sz="8" w:space="0" w:color="auto"/>
      </w:pBdr>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themeColor="text1"/>
      <w:kern w:val="0"/>
      <w:shd w:val="clear" w:color="auto" w:fill="FFFFFF"/>
      <w:lang w:eastAsia="en-AU"/>
      <w14:ligatures w14:val="none"/>
    </w:rPr>
  </w:style>
  <w:style w:type="paragraph" w:customStyle="1" w:styleId="xl100">
    <w:name w:val="xl100"/>
    <w:basedOn w:val="Normal"/>
    <w:rsid w:val="00F17101"/>
    <w:pPr>
      <w:widowControl w:val="0"/>
      <w:pBdr>
        <w:top w:val="single" w:sz="8" w:space="0" w:color="auto"/>
        <w:left w:val="single" w:sz="8" w:space="0" w:color="auto"/>
        <w:bottom w:val="single" w:sz="8" w:space="0" w:color="auto"/>
      </w:pBdr>
      <w:shd w:val="clear" w:color="000000" w:fill="0070C0"/>
      <w:kinsoku w:val="0"/>
      <w:overflowPunct w:val="0"/>
      <w:adjustRightInd w:val="0"/>
      <w:snapToGrid w:val="0"/>
      <w:spacing w:before="100" w:beforeAutospacing="1" w:after="100" w:afterAutospacing="1" w:line="240" w:lineRule="auto"/>
      <w:ind w:firstLine="0"/>
      <w:jc w:val="center"/>
      <w:textAlignment w:val="center"/>
    </w:pPr>
    <w:rPr>
      <w:rFonts w:eastAsia="Times New Roman" w:cs="Arial"/>
      <w:b/>
      <w:snapToGrid w:val="0"/>
      <w:color w:val="FFFFFF"/>
      <w:kern w:val="0"/>
      <w:sz w:val="28"/>
      <w:szCs w:val="28"/>
      <w:shd w:val="clear" w:color="auto" w:fill="FFFFFF"/>
      <w:lang w:eastAsia="en-AU"/>
      <w14:ligatures w14:val="none"/>
    </w:rPr>
  </w:style>
  <w:style w:type="paragraph" w:customStyle="1" w:styleId="xl101">
    <w:name w:val="xl101"/>
    <w:basedOn w:val="Normal"/>
    <w:rsid w:val="00F17101"/>
    <w:pPr>
      <w:widowControl w:val="0"/>
      <w:pBdr>
        <w:top w:val="single" w:sz="8" w:space="0" w:color="auto"/>
        <w:bottom w:val="single" w:sz="8" w:space="0" w:color="auto"/>
      </w:pBdr>
      <w:shd w:val="clear" w:color="000000" w:fill="0070C0"/>
      <w:kinsoku w:val="0"/>
      <w:overflowPunct w:val="0"/>
      <w:adjustRightInd w:val="0"/>
      <w:snapToGrid w:val="0"/>
      <w:spacing w:before="100" w:beforeAutospacing="1" w:after="100" w:afterAutospacing="1" w:line="240" w:lineRule="auto"/>
      <w:ind w:firstLine="0"/>
      <w:jc w:val="center"/>
      <w:textAlignment w:val="center"/>
    </w:pPr>
    <w:rPr>
      <w:rFonts w:eastAsia="Times New Roman" w:cs="Arial"/>
      <w:b/>
      <w:snapToGrid w:val="0"/>
      <w:color w:val="FFFFFF"/>
      <w:kern w:val="0"/>
      <w:sz w:val="28"/>
      <w:szCs w:val="28"/>
      <w:shd w:val="clear" w:color="auto" w:fill="FFFFFF"/>
      <w:lang w:eastAsia="en-AU"/>
      <w14:ligatures w14:val="none"/>
    </w:rPr>
  </w:style>
  <w:style w:type="paragraph" w:customStyle="1" w:styleId="xl102">
    <w:name w:val="xl102"/>
    <w:basedOn w:val="Normal"/>
    <w:rsid w:val="00F17101"/>
    <w:pPr>
      <w:widowControl w:val="0"/>
      <w:pBdr>
        <w:top w:val="single" w:sz="8" w:space="0" w:color="auto"/>
        <w:left w:val="single" w:sz="8" w:space="0" w:color="auto"/>
        <w:bottom w:val="single" w:sz="8" w:space="0" w:color="auto"/>
      </w:pBdr>
      <w:shd w:val="clear" w:color="000000" w:fill="00B05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kern w:val="0"/>
      <w:sz w:val="28"/>
      <w:szCs w:val="28"/>
      <w:shd w:val="clear" w:color="auto" w:fill="FFFFFF"/>
      <w:lang w:eastAsia="en-AU"/>
      <w14:ligatures w14:val="none"/>
    </w:rPr>
  </w:style>
  <w:style w:type="paragraph" w:customStyle="1" w:styleId="xl103">
    <w:name w:val="xl103"/>
    <w:basedOn w:val="Normal"/>
    <w:rsid w:val="00F17101"/>
    <w:pPr>
      <w:widowControl w:val="0"/>
      <w:pBdr>
        <w:top w:val="single" w:sz="8" w:space="0" w:color="auto"/>
        <w:bottom w:val="single" w:sz="8" w:space="0" w:color="auto"/>
      </w:pBdr>
      <w:shd w:val="clear" w:color="000000" w:fill="00B05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kern w:val="0"/>
      <w:sz w:val="28"/>
      <w:szCs w:val="28"/>
      <w:shd w:val="clear" w:color="auto" w:fill="FFFFFF"/>
      <w:lang w:eastAsia="en-AU"/>
      <w14:ligatures w14:val="none"/>
    </w:rPr>
  </w:style>
  <w:style w:type="paragraph" w:customStyle="1" w:styleId="xl104">
    <w:name w:val="xl104"/>
    <w:basedOn w:val="Normal"/>
    <w:rsid w:val="00F17101"/>
    <w:pPr>
      <w:widowControl w:val="0"/>
      <w:pBdr>
        <w:top w:val="single" w:sz="8" w:space="0" w:color="auto"/>
        <w:bottom w:val="single" w:sz="8" w:space="0" w:color="auto"/>
        <w:right w:val="single" w:sz="8" w:space="0" w:color="auto"/>
      </w:pBdr>
      <w:shd w:val="clear" w:color="000000" w:fill="00B05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000000"/>
      <w:kern w:val="0"/>
      <w:sz w:val="28"/>
      <w:szCs w:val="28"/>
      <w:shd w:val="clear" w:color="auto" w:fill="FFFFFF"/>
      <w:lang w:eastAsia="en-AU"/>
      <w14:ligatures w14:val="none"/>
    </w:rPr>
  </w:style>
  <w:style w:type="paragraph" w:customStyle="1" w:styleId="xl105">
    <w:name w:val="xl105"/>
    <w:basedOn w:val="Normal"/>
    <w:rsid w:val="00F17101"/>
    <w:pPr>
      <w:widowControl w:val="0"/>
      <w:pBdr>
        <w:top w:val="single" w:sz="8" w:space="0" w:color="auto"/>
        <w:left w:val="single" w:sz="8" w:space="0" w:color="auto"/>
        <w:bottom w:val="single" w:sz="8" w:space="0" w:color="auto"/>
      </w:pBdr>
      <w:shd w:val="clear" w:color="000000" w:fill="C0000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06">
    <w:name w:val="xl106"/>
    <w:basedOn w:val="Normal"/>
    <w:rsid w:val="00F17101"/>
    <w:pPr>
      <w:widowControl w:val="0"/>
      <w:pBdr>
        <w:top w:val="single" w:sz="8" w:space="0" w:color="auto"/>
        <w:bottom w:val="single" w:sz="8" w:space="0" w:color="auto"/>
      </w:pBdr>
      <w:shd w:val="clear" w:color="000000" w:fill="C0000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07">
    <w:name w:val="xl107"/>
    <w:basedOn w:val="Normal"/>
    <w:rsid w:val="00F17101"/>
    <w:pPr>
      <w:widowControl w:val="0"/>
      <w:pBdr>
        <w:top w:val="single" w:sz="8" w:space="0" w:color="auto"/>
        <w:bottom w:val="single" w:sz="8" w:space="0" w:color="auto"/>
        <w:right w:val="single" w:sz="8" w:space="0" w:color="auto"/>
      </w:pBdr>
      <w:shd w:val="clear" w:color="000000" w:fill="C0000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08">
    <w:name w:val="xl108"/>
    <w:basedOn w:val="Normal"/>
    <w:rsid w:val="00F17101"/>
    <w:pPr>
      <w:widowControl w:val="0"/>
      <w:pBdr>
        <w:top w:val="single" w:sz="8" w:space="0" w:color="auto"/>
        <w:left w:val="single" w:sz="8" w:space="0" w:color="auto"/>
        <w:bottom w:val="single" w:sz="8" w:space="0" w:color="auto"/>
      </w:pBdr>
      <w:shd w:val="clear" w:color="000000" w:fill="7030A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09">
    <w:name w:val="xl109"/>
    <w:basedOn w:val="Normal"/>
    <w:rsid w:val="00F17101"/>
    <w:pPr>
      <w:widowControl w:val="0"/>
      <w:pBdr>
        <w:top w:val="single" w:sz="8" w:space="0" w:color="auto"/>
        <w:bottom w:val="single" w:sz="8" w:space="0" w:color="auto"/>
      </w:pBdr>
      <w:shd w:val="clear" w:color="000000" w:fill="7030A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10">
    <w:name w:val="xl110"/>
    <w:basedOn w:val="Normal"/>
    <w:rsid w:val="00F17101"/>
    <w:pPr>
      <w:widowControl w:val="0"/>
      <w:pBdr>
        <w:top w:val="single" w:sz="8" w:space="0" w:color="auto"/>
        <w:bottom w:val="single" w:sz="8" w:space="0" w:color="auto"/>
        <w:right w:val="single" w:sz="8" w:space="0" w:color="auto"/>
      </w:pBdr>
      <w:shd w:val="clear" w:color="000000" w:fill="7030A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11">
    <w:name w:val="xl111"/>
    <w:basedOn w:val="Normal"/>
    <w:rsid w:val="00F17101"/>
    <w:pPr>
      <w:widowControl w:val="0"/>
      <w:pBdr>
        <w:top w:val="single" w:sz="8" w:space="0" w:color="auto"/>
        <w:left w:val="single" w:sz="8" w:space="0" w:color="auto"/>
        <w:bottom w:val="single" w:sz="8" w:space="0" w:color="auto"/>
      </w:pBdr>
      <w:shd w:val="clear" w:color="000000" w:fill="00206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12">
    <w:name w:val="xl112"/>
    <w:basedOn w:val="Normal"/>
    <w:rsid w:val="00F17101"/>
    <w:pPr>
      <w:widowControl w:val="0"/>
      <w:pBdr>
        <w:top w:val="single" w:sz="8" w:space="0" w:color="auto"/>
        <w:bottom w:val="single" w:sz="8" w:space="0" w:color="auto"/>
      </w:pBdr>
      <w:shd w:val="clear" w:color="000000" w:fill="00206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13">
    <w:name w:val="xl113"/>
    <w:basedOn w:val="Normal"/>
    <w:rsid w:val="00F17101"/>
    <w:pPr>
      <w:widowControl w:val="0"/>
      <w:pBdr>
        <w:top w:val="single" w:sz="8" w:space="0" w:color="auto"/>
        <w:bottom w:val="single" w:sz="8" w:space="0" w:color="auto"/>
        <w:right w:val="single" w:sz="8" w:space="0" w:color="auto"/>
      </w:pBdr>
      <w:shd w:val="clear" w:color="000000" w:fill="002060"/>
      <w:kinsoku w:val="0"/>
      <w:overflowPunct w:val="0"/>
      <w:adjustRightInd w:val="0"/>
      <w:snapToGrid w:val="0"/>
      <w:spacing w:before="100" w:beforeAutospacing="1" w:after="100" w:afterAutospacing="1" w:line="240" w:lineRule="auto"/>
      <w:ind w:firstLine="0"/>
      <w:textAlignment w:val="center"/>
    </w:pPr>
    <w:rPr>
      <w:rFonts w:eastAsia="Times New Roman" w:cs="Arial"/>
      <w:b/>
      <w:snapToGrid w:val="0"/>
      <w:color w:val="FFFFFF"/>
      <w:kern w:val="0"/>
      <w:shd w:val="clear" w:color="auto" w:fill="FFFFFF"/>
      <w:lang w:eastAsia="en-AU"/>
      <w14:ligatures w14:val="none"/>
    </w:rPr>
  </w:style>
  <w:style w:type="paragraph" w:customStyle="1" w:styleId="xl114">
    <w:name w:val="xl114"/>
    <w:basedOn w:val="Normal"/>
    <w:rsid w:val="00F17101"/>
    <w:pPr>
      <w:widowControl w:val="0"/>
      <w:pBdr>
        <w:top w:val="single" w:sz="8" w:space="0" w:color="auto"/>
        <w:left w:val="single" w:sz="8" w:space="0" w:color="auto"/>
        <w:right w:val="single" w:sz="8" w:space="0" w:color="auto"/>
      </w:pBdr>
      <w:shd w:val="clear" w:color="000000" w:fill="0070C0"/>
      <w:kinsoku w:val="0"/>
      <w:overflowPunct w:val="0"/>
      <w:adjustRightInd w:val="0"/>
      <w:snapToGrid w:val="0"/>
      <w:spacing w:before="100" w:beforeAutospacing="1" w:after="100" w:afterAutospacing="1" w:line="240" w:lineRule="auto"/>
      <w:ind w:firstLine="0"/>
      <w:jc w:val="center"/>
      <w:textAlignment w:val="center"/>
    </w:pPr>
    <w:rPr>
      <w:rFonts w:eastAsia="Times New Roman" w:cs="Arial"/>
      <w:b/>
      <w:snapToGrid w:val="0"/>
      <w:color w:val="FFFFFF"/>
      <w:kern w:val="0"/>
      <w:sz w:val="28"/>
      <w:szCs w:val="28"/>
      <w:shd w:val="clear" w:color="auto" w:fill="FFFFFF"/>
      <w:lang w:eastAsia="en-AU"/>
      <w14:ligatures w14:val="none"/>
    </w:rPr>
  </w:style>
  <w:style w:type="paragraph" w:customStyle="1" w:styleId="xl115">
    <w:name w:val="xl115"/>
    <w:basedOn w:val="Normal"/>
    <w:rsid w:val="00F17101"/>
    <w:pPr>
      <w:widowControl w:val="0"/>
      <w:pBdr>
        <w:left w:val="single" w:sz="8" w:space="0" w:color="auto"/>
        <w:bottom w:val="single" w:sz="8" w:space="0" w:color="auto"/>
        <w:right w:val="single" w:sz="8" w:space="0" w:color="auto"/>
      </w:pBdr>
      <w:shd w:val="clear" w:color="000000" w:fill="0070C0"/>
      <w:kinsoku w:val="0"/>
      <w:overflowPunct w:val="0"/>
      <w:adjustRightInd w:val="0"/>
      <w:snapToGrid w:val="0"/>
      <w:spacing w:before="100" w:beforeAutospacing="1" w:after="100" w:afterAutospacing="1" w:line="240" w:lineRule="auto"/>
      <w:ind w:firstLine="0"/>
      <w:jc w:val="center"/>
      <w:textAlignment w:val="center"/>
    </w:pPr>
    <w:rPr>
      <w:rFonts w:eastAsia="Times New Roman" w:cs="Arial"/>
      <w:b/>
      <w:snapToGrid w:val="0"/>
      <w:color w:val="FFFFFF"/>
      <w:kern w:val="0"/>
      <w:sz w:val="28"/>
      <w:szCs w:val="28"/>
      <w:shd w:val="clear" w:color="auto" w:fill="FFFFFF"/>
      <w:lang w:eastAsia="en-AU"/>
      <w14:ligatures w14:val="none"/>
    </w:rPr>
  </w:style>
  <w:style w:type="paragraph" w:customStyle="1" w:styleId="xl116">
    <w:name w:val="xl116"/>
    <w:basedOn w:val="Normal"/>
    <w:rsid w:val="00F17101"/>
    <w:pPr>
      <w:widowControl w:val="0"/>
      <w:pBdr>
        <w:bottom w:val="single" w:sz="8" w:space="0" w:color="auto"/>
        <w:right w:val="single" w:sz="8" w:space="0" w:color="auto"/>
      </w:pBdr>
      <w:shd w:val="clear" w:color="000000" w:fill="D17777"/>
      <w:kinsoku w:val="0"/>
      <w:overflowPunct w:val="0"/>
      <w:adjustRightInd w:val="0"/>
      <w:snapToGrid w:val="0"/>
      <w:spacing w:before="100" w:beforeAutospacing="1" w:after="100" w:afterAutospacing="1" w:line="240" w:lineRule="auto"/>
      <w:ind w:firstLine="0"/>
      <w:textAlignment w:val="center"/>
    </w:pPr>
    <w:rPr>
      <w:rFonts w:eastAsia="Times New Roman" w:cs="Arial"/>
      <w:bCs/>
      <w:snapToGrid w:val="0"/>
      <w:color w:val="000000"/>
      <w:kern w:val="0"/>
      <w:shd w:val="clear" w:color="auto" w:fill="FFFFFF"/>
      <w:lang w:eastAsia="en-AU"/>
      <w14:ligatures w14:val="none"/>
    </w:rPr>
  </w:style>
  <w:style w:type="paragraph" w:customStyle="1" w:styleId="xmsolistparagraph">
    <w:name w:val="x_msolistparagraph"/>
    <w:basedOn w:val="Normal"/>
    <w:rsid w:val="00F17101"/>
    <w:pPr>
      <w:widowControl w:val="0"/>
      <w:kinsoku w:val="0"/>
      <w:overflowPunct w:val="0"/>
      <w:adjustRightInd w:val="0"/>
      <w:snapToGrid w:val="0"/>
      <w:spacing w:before="100" w:beforeAutospacing="1" w:after="100" w:afterAutospacing="1" w:line="240" w:lineRule="auto"/>
      <w:ind w:firstLine="0"/>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paragraph" w:customStyle="1" w:styleId="smaller">
    <w:name w:val="smaller"/>
    <w:basedOn w:val="Normal"/>
    <w:rsid w:val="00F17101"/>
    <w:pPr>
      <w:widowControl w:val="0"/>
      <w:kinsoku w:val="0"/>
      <w:overflowPunct w:val="0"/>
      <w:adjustRightInd w:val="0"/>
      <w:snapToGrid w:val="0"/>
      <w:spacing w:before="100" w:beforeAutospacing="1" w:after="100" w:afterAutospacing="1" w:line="240" w:lineRule="auto"/>
      <w:ind w:firstLine="0"/>
    </w:pPr>
    <w:rPr>
      <w:rFonts w:ascii="Times New Roman" w:eastAsia="Times New Roman" w:hAnsi="Times New Roman" w:cs="Times New Roman"/>
      <w:bCs/>
      <w:snapToGrid w:val="0"/>
      <w:color w:val="000000" w:themeColor="text1"/>
      <w:kern w:val="0"/>
      <w:shd w:val="clear" w:color="auto" w:fill="FFFFFF"/>
      <w:lang w:eastAsia="en-AU"/>
      <w14:ligatures w14:val="none"/>
    </w:rPr>
  </w:style>
  <w:style w:type="character" w:customStyle="1" w:styleId="fieldrange">
    <w:name w:val="fieldrange"/>
    <w:basedOn w:val="DefaultParagraphFont"/>
    <w:rsid w:val="00F17101"/>
  </w:style>
  <w:style w:type="character" w:customStyle="1" w:styleId="tabchar">
    <w:name w:val="tabchar"/>
    <w:basedOn w:val="DefaultParagraphFont"/>
    <w:rsid w:val="00F17101"/>
  </w:style>
  <w:style w:type="character" w:customStyle="1" w:styleId="pagebreaktextspan">
    <w:name w:val="pagebreaktextspan"/>
    <w:basedOn w:val="DefaultParagraphFont"/>
    <w:rsid w:val="00F17101"/>
  </w:style>
  <w:style w:type="character" w:customStyle="1" w:styleId="xscreenreader-only">
    <w:name w:val="x_screenreader-only"/>
    <w:basedOn w:val="DefaultParagraphFont"/>
    <w:rsid w:val="00F17101"/>
  </w:style>
  <w:style w:type="character" w:customStyle="1" w:styleId="highlight">
    <w:name w:val="highlight"/>
    <w:basedOn w:val="DefaultParagraphFont"/>
    <w:rsid w:val="00F17101"/>
  </w:style>
  <w:style w:type="character" w:customStyle="1" w:styleId="full">
    <w:name w:val="full"/>
    <w:basedOn w:val="DefaultParagraphFont"/>
    <w:rsid w:val="00F17101"/>
  </w:style>
  <w:style w:type="character" w:customStyle="1" w:styleId="ozzzk">
    <w:name w:val="ozzzk"/>
    <w:basedOn w:val="DefaultParagraphFont"/>
    <w:rsid w:val="00F17101"/>
  </w:style>
  <w:style w:type="paragraph" w:styleId="Revision">
    <w:name w:val="Revision"/>
    <w:hidden/>
    <w:uiPriority w:val="99"/>
    <w:semiHidden/>
    <w:rsid w:val="00F17101"/>
    <w:pPr>
      <w:spacing w:after="0" w:line="240" w:lineRule="auto"/>
    </w:pPr>
    <w:rPr>
      <w:rFonts w:ascii="Arial" w:hAnsi="Arial" w:cs="Arial"/>
      <w:color w:val="0D0D0D" w:themeColor="text1" w:themeTint="F2"/>
      <w:kern w:val="0"/>
      <w14:ligatures w14:val="none"/>
    </w:rPr>
  </w:style>
  <w:style w:type="character" w:customStyle="1" w:styleId="cf01">
    <w:name w:val="cf01"/>
    <w:basedOn w:val="DefaultParagraphFont"/>
    <w:rsid w:val="00F17101"/>
    <w:rPr>
      <w:rFonts w:ascii="Segoe UI" w:hAnsi="Segoe UI" w:cs="Segoe UI" w:hint="default"/>
      <w:sz w:val="18"/>
      <w:szCs w:val="18"/>
    </w:rPr>
  </w:style>
  <w:style w:type="character" w:customStyle="1" w:styleId="field-content">
    <w:name w:val="field-content"/>
    <w:basedOn w:val="DefaultParagraphFont"/>
    <w:rsid w:val="00F17101"/>
  </w:style>
  <w:style w:type="paragraph" w:customStyle="1" w:styleId="pf0">
    <w:name w:val="pf0"/>
    <w:basedOn w:val="Normal"/>
    <w:rsid w:val="00F17101"/>
    <w:pPr>
      <w:widowControl w:val="0"/>
      <w:kinsoku w:val="0"/>
      <w:overflowPunct w:val="0"/>
      <w:adjustRightInd w:val="0"/>
      <w:snapToGrid w:val="0"/>
      <w:spacing w:before="100" w:beforeAutospacing="1" w:after="100" w:afterAutospacing="1" w:line="240" w:lineRule="auto"/>
      <w:ind w:firstLine="0"/>
    </w:pPr>
    <w:rPr>
      <w:rFonts w:ascii="Times New Roman" w:eastAsia="Times New Roman" w:hAnsi="Times New Roman" w:cs="Times New Roman"/>
      <w:bCs/>
      <w:snapToGrid w:val="0"/>
      <w:kern w:val="0"/>
      <w:shd w:val="clear" w:color="auto" w:fill="FFFFFF"/>
      <w:lang w:eastAsia="en-AU"/>
      <w14:ligatures w14:val="none"/>
    </w:rPr>
  </w:style>
  <w:style w:type="character" w:customStyle="1" w:styleId="cf11">
    <w:name w:val="cf11"/>
    <w:basedOn w:val="DefaultParagraphFont"/>
    <w:rsid w:val="00F17101"/>
    <w:rPr>
      <w:rFonts w:ascii="Segoe UI" w:hAnsi="Segoe UI" w:cs="Segoe UI" w:hint="default"/>
      <w:sz w:val="18"/>
      <w:szCs w:val="18"/>
    </w:rPr>
  </w:style>
  <w:style w:type="paragraph" w:styleId="Date">
    <w:name w:val="Date"/>
    <w:basedOn w:val="Normal"/>
    <w:next w:val="Normal"/>
    <w:link w:val="DateChar"/>
    <w:uiPriority w:val="99"/>
    <w:semiHidden/>
    <w:unhideWhenUsed/>
    <w:rsid w:val="00F17101"/>
    <w:pPr>
      <w:widowControl w:val="0"/>
      <w:kinsoku w:val="0"/>
      <w:overflowPunct w:val="0"/>
      <w:adjustRightInd w:val="0"/>
      <w:snapToGrid w:val="0"/>
    </w:pPr>
    <w:rPr>
      <w:rFonts w:eastAsiaTheme="majorEastAsia" w:cs="Arial"/>
      <w:bCs/>
      <w:snapToGrid w:val="0"/>
      <w:color w:val="000000" w:themeColor="text1"/>
      <w:kern w:val="0"/>
      <w:shd w:val="clear" w:color="auto" w:fill="FFFFFF"/>
      <w14:ligatures w14:val="none"/>
    </w:rPr>
  </w:style>
  <w:style w:type="character" w:customStyle="1" w:styleId="DateChar">
    <w:name w:val="Date Char"/>
    <w:basedOn w:val="DefaultParagraphFont"/>
    <w:link w:val="Date"/>
    <w:uiPriority w:val="99"/>
    <w:semiHidden/>
    <w:rsid w:val="00F17101"/>
    <w:rPr>
      <w:rFonts w:ascii="Arial" w:eastAsiaTheme="majorEastAsia" w:hAnsi="Arial" w:cs="Arial"/>
      <w:bCs/>
      <w:snapToGrid w:val="0"/>
      <w:color w:val="000000" w:themeColor="text1"/>
      <w:kern w:val="0"/>
      <w14:ligatures w14:val="none"/>
    </w:rPr>
  </w:style>
  <w:style w:type="paragraph" w:customStyle="1" w:styleId="quotation">
    <w:name w:val="quotation"/>
    <w:basedOn w:val="Normal"/>
    <w:link w:val="quotationChar"/>
    <w:qFormat/>
    <w:rsid w:val="00F17101"/>
    <w:pPr>
      <w:widowControl w:val="0"/>
      <w:kinsoku w:val="0"/>
      <w:overflowPunct w:val="0"/>
      <w:adjustRightInd w:val="0"/>
      <w:snapToGrid w:val="0"/>
      <w:ind w:left="737" w:firstLine="0"/>
    </w:pPr>
    <w:rPr>
      <w:rFonts w:eastAsiaTheme="majorEastAsia" w:cs="Arial"/>
      <w:bCs/>
      <w:snapToGrid w:val="0"/>
      <w:color w:val="000000" w:themeColor="text1"/>
      <w:kern w:val="0"/>
      <w:shd w:val="clear" w:color="auto" w:fill="FFFFFF"/>
      <w14:ligatures w14:val="none"/>
    </w:rPr>
  </w:style>
  <w:style w:type="character" w:customStyle="1" w:styleId="quotationChar">
    <w:name w:val="quotation Char"/>
    <w:basedOn w:val="DefaultParagraphFont"/>
    <w:link w:val="quotation"/>
    <w:rsid w:val="00F17101"/>
    <w:rPr>
      <w:rFonts w:ascii="Arial" w:eastAsiaTheme="majorEastAsia" w:hAnsi="Arial" w:cs="Arial"/>
      <w:bCs/>
      <w:snapToGrid w:val="0"/>
      <w:color w:val="000000" w:themeColor="text1"/>
      <w:kern w:val="0"/>
      <w14:ligatures w14:val="none"/>
    </w:rPr>
  </w:style>
  <w:style w:type="character" w:customStyle="1" w:styleId="hgkelc">
    <w:name w:val="hgkelc"/>
    <w:basedOn w:val="DefaultParagraphFont"/>
    <w:rsid w:val="00F17101"/>
  </w:style>
  <w:style w:type="paragraph" w:customStyle="1" w:styleId="block1">
    <w:name w:val="block1"/>
    <w:basedOn w:val="Normal"/>
    <w:rsid w:val="00F17101"/>
    <w:pPr>
      <w:spacing w:before="100" w:beforeAutospacing="1" w:after="100" w:afterAutospacing="1" w:line="240" w:lineRule="auto"/>
      <w:ind w:firstLine="0"/>
    </w:pPr>
    <w:rPr>
      <w:rFonts w:ascii="Times New Roman" w:eastAsia="Times New Roman" w:hAnsi="Times New Roman" w:cs="Times New Roman"/>
      <w:kern w:val="0"/>
      <w:lang w:eastAsia="en-AU"/>
      <w14:ligatures w14:val="none"/>
    </w:rPr>
  </w:style>
  <w:style w:type="paragraph" w:customStyle="1" w:styleId="sublevel2bold">
    <w:name w:val="sublevel2bold"/>
    <w:basedOn w:val="Normal"/>
    <w:rsid w:val="00F17101"/>
    <w:pPr>
      <w:spacing w:before="100" w:beforeAutospacing="1" w:after="100" w:afterAutospacing="1" w:line="240" w:lineRule="auto"/>
      <w:ind w:firstLine="0"/>
    </w:pPr>
    <w:rPr>
      <w:rFonts w:ascii="Times New Roman" w:eastAsia="Times New Roman" w:hAnsi="Times New Roman" w:cs="Times New Roman"/>
      <w:kern w:val="0"/>
      <w:lang w:eastAsia="en-AU"/>
      <w14:ligatures w14:val="none"/>
    </w:rPr>
  </w:style>
  <w:style w:type="paragraph" w:customStyle="1" w:styleId="sublevel3bold">
    <w:name w:val="sublevel3bold"/>
    <w:basedOn w:val="Normal"/>
    <w:rsid w:val="00F17101"/>
    <w:pPr>
      <w:spacing w:before="100" w:beforeAutospacing="1" w:after="100" w:afterAutospacing="1" w:line="240" w:lineRule="auto"/>
      <w:ind w:firstLine="0"/>
    </w:pPr>
    <w:rPr>
      <w:rFonts w:ascii="Times New Roman" w:eastAsia="Times New Roman" w:hAnsi="Times New Roman" w:cs="Times New Roman"/>
      <w:kern w:val="0"/>
      <w:lang w:eastAsia="en-AU"/>
      <w14:ligatures w14:val="none"/>
    </w:rPr>
  </w:style>
  <w:style w:type="paragraph" w:customStyle="1" w:styleId="sublevel4">
    <w:name w:val="sublevel4"/>
    <w:basedOn w:val="Normal"/>
    <w:rsid w:val="00F17101"/>
    <w:pPr>
      <w:spacing w:before="100" w:beforeAutospacing="1" w:after="100" w:afterAutospacing="1" w:line="240" w:lineRule="auto"/>
      <w:ind w:firstLine="0"/>
    </w:pPr>
    <w:rPr>
      <w:rFonts w:ascii="Times New Roman" w:eastAsia="Times New Roman" w:hAnsi="Times New Roman" w:cs="Times New Roman"/>
      <w:kern w:val="0"/>
      <w:lang w:eastAsia="en-AU"/>
      <w14:ligatures w14:val="none"/>
    </w:rPr>
  </w:style>
  <w:style w:type="paragraph" w:customStyle="1" w:styleId="bullet3">
    <w:name w:val="bullet3"/>
    <w:basedOn w:val="Normal"/>
    <w:rsid w:val="00F17101"/>
    <w:pPr>
      <w:spacing w:before="100" w:beforeAutospacing="1" w:after="100" w:afterAutospacing="1" w:line="240" w:lineRule="auto"/>
      <w:ind w:firstLine="0"/>
    </w:pPr>
    <w:rPr>
      <w:rFonts w:ascii="Times New Roman" w:eastAsia="Times New Roman" w:hAnsi="Times New Roman" w:cs="Times New Roman"/>
      <w:kern w:val="0"/>
      <w:lang w:eastAsia="en-AU"/>
      <w14:ligatures w14:val="none"/>
    </w:rPr>
  </w:style>
  <w:style w:type="paragraph" w:customStyle="1" w:styleId="block2">
    <w:name w:val="block2"/>
    <w:basedOn w:val="Normal"/>
    <w:rsid w:val="00F17101"/>
    <w:pPr>
      <w:spacing w:before="100" w:beforeAutospacing="1" w:after="100" w:afterAutospacing="1" w:line="240" w:lineRule="auto"/>
      <w:ind w:firstLine="0"/>
    </w:pPr>
    <w:rPr>
      <w:rFonts w:ascii="Times New Roman" w:eastAsia="Times New Roman" w:hAnsi="Times New Roman" w:cs="Times New Roman"/>
      <w:kern w:val="0"/>
      <w:lang w:eastAsia="en-AU"/>
      <w14:ligatures w14:val="none"/>
    </w:rPr>
  </w:style>
  <w:style w:type="paragraph" w:customStyle="1" w:styleId="sublevel1bold">
    <w:name w:val="sublevel1bold"/>
    <w:basedOn w:val="Normal"/>
    <w:rsid w:val="00F17101"/>
    <w:pPr>
      <w:spacing w:before="100" w:beforeAutospacing="1" w:after="100" w:afterAutospacing="1" w:line="240" w:lineRule="auto"/>
      <w:ind w:firstLine="0"/>
    </w:pPr>
    <w:rPr>
      <w:rFonts w:ascii="Times New Roman" w:eastAsia="Times New Roman" w:hAnsi="Times New Roman" w:cs="Times New Roman"/>
      <w:kern w:val="0"/>
      <w:lang w:eastAsia="en-AU"/>
      <w14:ligatures w14:val="none"/>
    </w:rPr>
  </w:style>
  <w:style w:type="paragraph" w:customStyle="1" w:styleId="sublevel3">
    <w:name w:val="sublevel3"/>
    <w:basedOn w:val="Normal"/>
    <w:rsid w:val="00F17101"/>
    <w:pPr>
      <w:spacing w:before="100" w:beforeAutospacing="1" w:after="100" w:afterAutospacing="1" w:line="240" w:lineRule="auto"/>
      <w:ind w:firstLine="0"/>
    </w:pPr>
    <w:rPr>
      <w:rFonts w:ascii="Times New Roman" w:eastAsia="Times New Roman" w:hAnsi="Times New Roman" w:cs="Times New Roman"/>
      <w:kern w:val="0"/>
      <w:lang w:eastAsia="en-AU"/>
      <w14:ligatures w14:val="none"/>
    </w:rPr>
  </w:style>
  <w:style w:type="character" w:customStyle="1" w:styleId="anchor-text">
    <w:name w:val="anchor-text"/>
    <w:basedOn w:val="DefaultParagraphFont"/>
    <w:rsid w:val="00F17101"/>
  </w:style>
  <w:style w:type="character" w:customStyle="1" w:styleId="font111">
    <w:name w:val="font111"/>
    <w:basedOn w:val="DefaultParagraphFont"/>
    <w:rsid w:val="00F17101"/>
    <w:rPr>
      <w:rFonts w:ascii="Calibri-Bold" w:hAnsi="Calibri-Bold" w:hint="default"/>
      <w:b/>
      <w:bCs/>
      <w:i w:val="0"/>
      <w:iCs w:val="0"/>
      <w:strike w:val="0"/>
      <w:dstrike w:val="0"/>
      <w:color w:val="000000"/>
      <w:sz w:val="24"/>
      <w:szCs w:val="24"/>
      <w:u w:val="none"/>
      <w:effect w:val="none"/>
    </w:rPr>
  </w:style>
  <w:style w:type="character" w:customStyle="1" w:styleId="font101">
    <w:name w:val="font101"/>
    <w:basedOn w:val="DefaultParagraphFont"/>
    <w:rsid w:val="00F17101"/>
    <w:rPr>
      <w:rFonts w:ascii="Calibri" w:hAnsi="Calibri" w:cs="Calibri" w:hint="default"/>
      <w:b w:val="0"/>
      <w:bCs w:val="0"/>
      <w:i w:val="0"/>
      <w:iCs w:val="0"/>
      <w:strike w:val="0"/>
      <w:dstrike w:val="0"/>
      <w:color w:val="000000"/>
      <w:sz w:val="24"/>
      <w:szCs w:val="24"/>
      <w:u w:val="none"/>
      <w:effect w:val="none"/>
    </w:rPr>
  </w:style>
  <w:style w:type="character" w:customStyle="1" w:styleId="findhit">
    <w:name w:val="findhit"/>
    <w:basedOn w:val="DefaultParagraphFont"/>
    <w:rsid w:val="00F17101"/>
  </w:style>
  <w:style w:type="character" w:styleId="Mention">
    <w:name w:val="Mention"/>
    <w:basedOn w:val="DefaultParagraphFont"/>
    <w:uiPriority w:val="99"/>
    <w:unhideWhenUsed/>
    <w:rsid w:val="00F17101"/>
    <w:rPr>
      <w:color w:val="2B579A"/>
      <w:shd w:val="clear" w:color="auto" w:fill="E6E6E6"/>
    </w:rPr>
  </w:style>
  <w:style w:type="table" w:customStyle="1" w:styleId="QQuestionTable">
    <w:name w:val="QQuestionTable"/>
    <w:uiPriority w:val="99"/>
    <w:qFormat/>
    <w:rsid w:val="00F17101"/>
    <w:pPr>
      <w:spacing w:after="0" w:line="240" w:lineRule="auto"/>
      <w:jc w:val="center"/>
    </w:pPr>
    <w:rPr>
      <w:rFonts w:eastAsiaTheme="minorEastAsia"/>
      <w:kern w:val="0"/>
      <w:sz w:val="20"/>
      <w:szCs w:val="20"/>
      <w:lang w:val="en-US" w:eastAsia="en-AU"/>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StandardSliderTable">
    <w:name w:val="QStandardSliderTable"/>
    <w:uiPriority w:val="99"/>
    <w:qFormat/>
    <w:rsid w:val="00F17101"/>
    <w:pPr>
      <w:spacing w:after="0" w:line="240" w:lineRule="auto"/>
      <w:jc w:val="center"/>
    </w:pPr>
    <w:rPr>
      <w:rFonts w:eastAsiaTheme="minorEastAsia"/>
      <w:kern w:val="0"/>
      <w:sz w:val="20"/>
      <w:szCs w:val="20"/>
      <w:lang w:val="en-US" w:eastAsia="en-AU"/>
      <w14:ligatures w14:val="none"/>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F17101"/>
    <w:pPr>
      <w:spacing w:after="0" w:line="240" w:lineRule="auto"/>
      <w:jc w:val="center"/>
    </w:pPr>
    <w:rPr>
      <w:rFonts w:eastAsiaTheme="minorEastAsia"/>
      <w:kern w:val="0"/>
      <w:sz w:val="22"/>
      <w:szCs w:val="22"/>
      <w:lang w:val="en-US"/>
      <w14:ligatures w14:val="none"/>
    </w:rPr>
    <w:tblPr>
      <w:tblCellMar>
        <w:top w:w="0" w:type="dxa"/>
        <w:left w:w="0" w:type="dxa"/>
        <w:bottom w:w="0" w:type="dxa"/>
        <w:right w:w="0" w:type="dxa"/>
      </w:tblCellMar>
    </w:tblPr>
  </w:style>
  <w:style w:type="paragraph" w:customStyle="1" w:styleId="BlockStartLabel">
    <w:name w:val="BlockStartLabel"/>
    <w:basedOn w:val="Normal"/>
    <w:qFormat/>
    <w:rsid w:val="00F17101"/>
    <w:pPr>
      <w:spacing w:before="120" w:after="120" w:line="240" w:lineRule="auto"/>
      <w:ind w:firstLine="0"/>
    </w:pPr>
    <w:rPr>
      <w:rFonts w:asciiTheme="minorHAnsi" w:eastAsiaTheme="minorEastAsia" w:hAnsiTheme="minorHAnsi"/>
      <w:b/>
      <w:color w:val="CCCCCC"/>
      <w:kern w:val="0"/>
      <w:sz w:val="22"/>
      <w:szCs w:val="22"/>
      <w:lang w:val="en-US"/>
      <w14:ligatures w14:val="none"/>
    </w:rPr>
  </w:style>
  <w:style w:type="paragraph" w:customStyle="1" w:styleId="BlockEndLabel">
    <w:name w:val="BlockEndLabel"/>
    <w:basedOn w:val="Normal"/>
    <w:qFormat/>
    <w:rsid w:val="00F17101"/>
    <w:pPr>
      <w:spacing w:before="120" w:line="240" w:lineRule="auto"/>
      <w:ind w:firstLine="0"/>
    </w:pPr>
    <w:rPr>
      <w:rFonts w:asciiTheme="minorHAnsi" w:eastAsiaTheme="minorEastAsia" w:hAnsiTheme="minorHAnsi"/>
      <w:b/>
      <w:color w:val="CCCCCC"/>
      <w:kern w:val="0"/>
      <w:sz w:val="22"/>
      <w:szCs w:val="22"/>
      <w:lang w:val="en-US"/>
      <w14:ligatures w14:val="none"/>
    </w:rPr>
  </w:style>
  <w:style w:type="paragraph" w:customStyle="1" w:styleId="BlockSeparator">
    <w:name w:val="BlockSeparator"/>
    <w:basedOn w:val="Normal"/>
    <w:qFormat/>
    <w:rsid w:val="00F17101"/>
    <w:pPr>
      <w:pBdr>
        <w:bottom w:val="single" w:sz="8" w:space="0" w:color="CCCCCC"/>
      </w:pBdr>
      <w:spacing w:line="120" w:lineRule="auto"/>
      <w:ind w:firstLine="0"/>
      <w:jc w:val="center"/>
    </w:pPr>
    <w:rPr>
      <w:rFonts w:asciiTheme="minorHAnsi" w:eastAsiaTheme="minorEastAsia" w:hAnsiTheme="minorHAnsi"/>
      <w:b/>
      <w:color w:val="CCCCCC"/>
      <w:kern w:val="0"/>
      <w:sz w:val="22"/>
      <w:szCs w:val="22"/>
      <w:lang w:val="en-US"/>
      <w14:ligatures w14:val="none"/>
    </w:rPr>
  </w:style>
  <w:style w:type="paragraph" w:customStyle="1" w:styleId="QuestionSeparator">
    <w:name w:val="QuestionSeparator"/>
    <w:basedOn w:val="Normal"/>
    <w:qFormat/>
    <w:rsid w:val="00F17101"/>
    <w:pPr>
      <w:pBdr>
        <w:top w:val="dashed" w:sz="8" w:space="0" w:color="CCCCCC"/>
      </w:pBdr>
      <w:spacing w:before="120" w:after="120" w:line="120" w:lineRule="auto"/>
      <w:ind w:firstLine="0"/>
    </w:pPr>
    <w:rPr>
      <w:rFonts w:asciiTheme="minorHAnsi" w:eastAsiaTheme="minorEastAsia" w:hAnsiTheme="minorHAnsi"/>
      <w:kern w:val="0"/>
      <w:sz w:val="22"/>
      <w:szCs w:val="22"/>
      <w:lang w:val="en-US"/>
      <w14:ligatures w14:val="none"/>
    </w:rPr>
  </w:style>
  <w:style w:type="paragraph" w:customStyle="1" w:styleId="TextEntryLine">
    <w:name w:val="TextEntryLine"/>
    <w:basedOn w:val="Normal"/>
    <w:qFormat/>
    <w:rsid w:val="00F17101"/>
    <w:pPr>
      <w:spacing w:before="240" w:line="240" w:lineRule="auto"/>
      <w:ind w:firstLine="0"/>
    </w:pPr>
    <w:rPr>
      <w:rFonts w:asciiTheme="minorHAnsi" w:eastAsiaTheme="minorEastAsia" w:hAnsiTheme="minorHAnsi"/>
      <w:kern w:val="0"/>
      <w:sz w:val="22"/>
      <w:szCs w:val="22"/>
      <w:lang w:val="en-US"/>
      <w14:ligatures w14:val="none"/>
    </w:rPr>
  </w:style>
  <w:style w:type="paragraph" w:customStyle="1" w:styleId="H4APA">
    <w:name w:val="H4 APA"/>
    <w:basedOn w:val="Normal"/>
    <w:next w:val="Normal"/>
    <w:qFormat/>
    <w:rsid w:val="00F17101"/>
    <w:pPr>
      <w:widowControl w:val="0"/>
      <w:kinsoku w:val="0"/>
      <w:overflowPunct w:val="0"/>
      <w:adjustRightInd w:val="0"/>
      <w:snapToGrid w:val="0"/>
    </w:pPr>
    <w:rPr>
      <w:rFonts w:eastAsiaTheme="majorEastAsia" w:cs="Arial"/>
      <w:b/>
      <w:i/>
      <w:color w:val="000000" w:themeColor="text1"/>
      <w:kern w:val="0"/>
      <w:shd w:val="clear" w:color="auto" w:fill="FFFFFF"/>
      <w14:ligatures w14:val="none"/>
    </w:rPr>
  </w:style>
  <w:style w:type="paragraph" w:customStyle="1" w:styleId="RnRH1">
    <w:name w:val="RnR H1"/>
    <w:basedOn w:val="Normal"/>
    <w:link w:val="RnRH1Char"/>
    <w:autoRedefine/>
    <w:qFormat/>
    <w:rsid w:val="00F17101"/>
    <w:pPr>
      <w:spacing w:line="240" w:lineRule="auto"/>
      <w:ind w:firstLine="0"/>
    </w:pPr>
    <w:rPr>
      <w:rFonts w:ascii="Century Gothic" w:eastAsia="Times New Roman" w:hAnsi="Century Gothic" w:cs="Times New Roman"/>
      <w:b/>
      <w:bCs/>
      <w:color w:val="FF0000"/>
      <w:kern w:val="0"/>
      <w:szCs w:val="18"/>
      <w:lang w:eastAsia="en-AU"/>
      <w14:ligatures w14:val="none"/>
    </w:rPr>
  </w:style>
  <w:style w:type="character" w:customStyle="1" w:styleId="RnRH1Char">
    <w:name w:val="RnR H1 Char"/>
    <w:basedOn w:val="DefaultParagraphFont"/>
    <w:link w:val="RnRH1"/>
    <w:rsid w:val="00F17101"/>
    <w:rPr>
      <w:rFonts w:ascii="Century Gothic" w:eastAsia="Times New Roman" w:hAnsi="Century Gothic" w:cs="Times New Roman"/>
      <w:b/>
      <w:bCs/>
      <w:color w:val="FF0000"/>
      <w:kern w:val="0"/>
      <w:szCs w:val="18"/>
      <w:lang w:eastAsia="en-AU"/>
      <w14:ligatures w14:val="none"/>
    </w:rPr>
  </w:style>
  <w:style w:type="paragraph" w:customStyle="1" w:styleId="RnRMajor">
    <w:name w:val="RnR Major"/>
    <w:basedOn w:val="Normal"/>
    <w:link w:val="RnRMajorChar"/>
    <w:qFormat/>
    <w:rsid w:val="00F17101"/>
    <w:pPr>
      <w:spacing w:line="240" w:lineRule="auto"/>
      <w:ind w:firstLine="0"/>
    </w:pPr>
    <w:rPr>
      <w:rFonts w:ascii="Century Gothic" w:eastAsia="Times New Roman" w:hAnsi="Century Gothic" w:cs="Times New Roman"/>
      <w:b/>
      <w:color w:val="51C8EA"/>
      <w:kern w:val="0"/>
      <w:sz w:val="40"/>
      <w:szCs w:val="56"/>
      <w:lang w:eastAsia="en-AU"/>
      <w14:ligatures w14:val="none"/>
    </w:rPr>
  </w:style>
  <w:style w:type="character" w:customStyle="1" w:styleId="RnRMajorChar">
    <w:name w:val="RnR Major Char"/>
    <w:basedOn w:val="DefaultParagraphFont"/>
    <w:link w:val="RnRMajor"/>
    <w:rsid w:val="00F17101"/>
    <w:rPr>
      <w:rFonts w:ascii="Century Gothic" w:eastAsia="Times New Roman" w:hAnsi="Century Gothic" w:cs="Times New Roman"/>
      <w:b/>
      <w:color w:val="51C8EA"/>
      <w:kern w:val="0"/>
      <w:sz w:val="40"/>
      <w:szCs w:val="56"/>
      <w:lang w:eastAsia="en-AU"/>
      <w14:ligatures w14:val="none"/>
    </w:rPr>
  </w:style>
  <w:style w:type="paragraph" w:customStyle="1" w:styleId="font5">
    <w:name w:val="font5"/>
    <w:basedOn w:val="Normal"/>
    <w:rsid w:val="00F17101"/>
    <w:pPr>
      <w:spacing w:before="100" w:beforeAutospacing="1" w:after="100" w:afterAutospacing="1" w:line="240" w:lineRule="auto"/>
      <w:ind w:firstLine="0"/>
    </w:pPr>
    <w:rPr>
      <w:rFonts w:eastAsia="Times New Roman" w:cs="Arial"/>
      <w:color w:val="000000"/>
      <w:kern w:val="0"/>
      <w:lang w:eastAsia="en-AU"/>
      <w14:ligatures w14:val="none"/>
    </w:rPr>
  </w:style>
  <w:style w:type="paragraph" w:customStyle="1" w:styleId="font6">
    <w:name w:val="font6"/>
    <w:basedOn w:val="Normal"/>
    <w:rsid w:val="00F17101"/>
    <w:pPr>
      <w:spacing w:before="100" w:beforeAutospacing="1" w:after="100" w:afterAutospacing="1" w:line="240" w:lineRule="auto"/>
      <w:ind w:firstLine="0"/>
    </w:pPr>
    <w:rPr>
      <w:rFonts w:ascii="Century Gothic" w:eastAsia="Times New Roman" w:hAnsi="Century Gothic" w:cs="Times New Roman"/>
      <w:color w:val="000000"/>
      <w:kern w:val="0"/>
      <w:lang w:eastAsia="en-AU"/>
      <w14:ligatures w14:val="none"/>
    </w:rPr>
  </w:style>
  <w:style w:type="paragraph" w:customStyle="1" w:styleId="font7">
    <w:name w:val="font7"/>
    <w:basedOn w:val="Normal"/>
    <w:rsid w:val="00F17101"/>
    <w:pPr>
      <w:spacing w:before="100" w:beforeAutospacing="1" w:after="100" w:afterAutospacing="1" w:line="240" w:lineRule="auto"/>
      <w:ind w:firstLine="0"/>
    </w:pPr>
    <w:rPr>
      <w:rFonts w:ascii="Century Gothic" w:eastAsia="Times New Roman" w:hAnsi="Century Gothic" w:cs="Times New Roman"/>
      <w:b/>
      <w:bCs/>
      <w:color w:val="000000"/>
      <w:kern w:val="0"/>
      <w:lang w:eastAsia="en-AU"/>
      <w14:ligatures w14:val="none"/>
    </w:rPr>
  </w:style>
  <w:style w:type="paragraph" w:customStyle="1" w:styleId="font8">
    <w:name w:val="font8"/>
    <w:basedOn w:val="Normal"/>
    <w:rsid w:val="00F17101"/>
    <w:pPr>
      <w:spacing w:before="100" w:beforeAutospacing="1" w:after="100" w:afterAutospacing="1" w:line="240" w:lineRule="auto"/>
      <w:ind w:firstLine="0"/>
    </w:pPr>
    <w:rPr>
      <w:rFonts w:ascii="Century Gothic" w:eastAsia="Times New Roman" w:hAnsi="Century Gothic" w:cs="Times New Roman"/>
      <w:color w:val="000000"/>
      <w:kern w:val="0"/>
      <w:sz w:val="16"/>
      <w:szCs w:val="16"/>
      <w:lang w:eastAsia="en-AU"/>
      <w14:ligatures w14:val="none"/>
    </w:rPr>
  </w:style>
  <w:style w:type="paragraph" w:customStyle="1" w:styleId="font9">
    <w:name w:val="font9"/>
    <w:basedOn w:val="Normal"/>
    <w:rsid w:val="00F17101"/>
    <w:pPr>
      <w:spacing w:before="100" w:beforeAutospacing="1" w:after="100" w:afterAutospacing="1" w:line="240" w:lineRule="auto"/>
      <w:ind w:firstLine="0"/>
    </w:pPr>
    <w:rPr>
      <w:rFonts w:ascii="Century Gothic" w:eastAsia="Times New Roman" w:hAnsi="Century Gothic" w:cs="Times New Roman"/>
      <w:i/>
      <w:iCs/>
      <w:color w:val="000000"/>
      <w:kern w:val="0"/>
      <w:lang w:eastAsia="en-AU"/>
      <w14:ligatures w14:val="none"/>
    </w:rPr>
  </w:style>
  <w:style w:type="paragraph" w:customStyle="1" w:styleId="font10">
    <w:name w:val="font10"/>
    <w:basedOn w:val="Normal"/>
    <w:rsid w:val="00F17101"/>
    <w:pPr>
      <w:spacing w:before="100" w:beforeAutospacing="1" w:after="100" w:afterAutospacing="1" w:line="240" w:lineRule="auto"/>
      <w:ind w:firstLine="0"/>
    </w:pPr>
    <w:rPr>
      <w:rFonts w:ascii="Century Gothic" w:eastAsia="Times New Roman" w:hAnsi="Century Gothic" w:cs="Times New Roman"/>
      <w:b/>
      <w:bCs/>
      <w:i/>
      <w:iCs/>
      <w:color w:val="000000"/>
      <w:kern w:val="0"/>
      <w:lang w:eastAsia="en-AU"/>
      <w14:ligatures w14:val="none"/>
    </w:rPr>
  </w:style>
  <w:style w:type="paragraph" w:customStyle="1" w:styleId="font11">
    <w:name w:val="font11"/>
    <w:basedOn w:val="Normal"/>
    <w:rsid w:val="00F17101"/>
    <w:pPr>
      <w:spacing w:before="100" w:beforeAutospacing="1" w:after="100" w:afterAutospacing="1" w:line="240" w:lineRule="auto"/>
      <w:ind w:firstLine="0"/>
    </w:pPr>
    <w:rPr>
      <w:rFonts w:ascii="Cambria Math" w:eastAsia="Times New Roman" w:hAnsi="Cambria Math" w:cs="Times New Roman"/>
      <w:color w:val="000000"/>
      <w:kern w:val="0"/>
      <w:lang w:eastAsia="en-AU"/>
      <w14:ligatures w14:val="none"/>
    </w:rPr>
  </w:style>
  <w:style w:type="paragraph" w:styleId="BodyText">
    <w:name w:val="Body Text"/>
    <w:basedOn w:val="Normal"/>
    <w:link w:val="BodyTextChar"/>
    <w:uiPriority w:val="1"/>
    <w:qFormat/>
    <w:rsid w:val="00F17101"/>
    <w:pPr>
      <w:widowControl w:val="0"/>
      <w:autoSpaceDE w:val="0"/>
      <w:autoSpaceDN w:val="0"/>
      <w:spacing w:line="240" w:lineRule="auto"/>
      <w:ind w:firstLine="0"/>
    </w:pPr>
    <w:rPr>
      <w:rFonts w:eastAsia="Arial" w:cs="Arial"/>
      <w:kern w:val="0"/>
      <w:sz w:val="20"/>
      <w:szCs w:val="20"/>
      <w:lang w:val="en-US"/>
      <w14:ligatures w14:val="none"/>
    </w:rPr>
  </w:style>
  <w:style w:type="character" w:customStyle="1" w:styleId="BodyTextChar">
    <w:name w:val="Body Text Char"/>
    <w:basedOn w:val="DefaultParagraphFont"/>
    <w:link w:val="BodyText"/>
    <w:uiPriority w:val="1"/>
    <w:rsid w:val="00F17101"/>
    <w:rPr>
      <w:rFonts w:ascii="Arial" w:eastAsia="Arial" w:hAnsi="Arial" w:cs="Arial"/>
      <w:kern w:val="0"/>
      <w:sz w:val="20"/>
      <w:szCs w:val="20"/>
      <w:lang w:val="en-US"/>
      <w14:ligatures w14:val="none"/>
    </w:rPr>
  </w:style>
  <w:style w:type="paragraph" w:customStyle="1" w:styleId="TableParagraph">
    <w:name w:val="Table Paragraph"/>
    <w:basedOn w:val="Normal"/>
    <w:uiPriority w:val="1"/>
    <w:qFormat/>
    <w:rsid w:val="00F17101"/>
    <w:pPr>
      <w:widowControl w:val="0"/>
      <w:autoSpaceDE w:val="0"/>
      <w:autoSpaceDN w:val="0"/>
      <w:spacing w:line="259" w:lineRule="exact"/>
      <w:ind w:left="38" w:firstLine="0"/>
    </w:pPr>
    <w:rPr>
      <w:rFonts w:ascii="Calibri" w:eastAsia="Calibri" w:hAnsi="Calibri" w:cs="Calibri"/>
      <w:kern w:val="0"/>
      <w:sz w:val="22"/>
      <w:szCs w:val="22"/>
      <w:lang w:val="en-US"/>
      <w14:ligatures w14:val="none"/>
    </w:rPr>
  </w:style>
  <w:style w:type="paragraph" w:customStyle="1" w:styleId="xl117">
    <w:name w:val="xl117"/>
    <w:basedOn w:val="Normal"/>
    <w:rsid w:val="00F17101"/>
    <w:pPr>
      <w:pBdr>
        <w:top w:val="single" w:sz="4" w:space="0" w:color="0070C0"/>
        <w:left w:val="single" w:sz="8" w:space="0" w:color="0070C0"/>
        <w:bottom w:val="single" w:sz="4" w:space="0" w:color="0070C0"/>
        <w:right w:val="single" w:sz="4" w:space="0" w:color="0070C0"/>
      </w:pBdr>
      <w:spacing w:before="100" w:beforeAutospacing="1" w:after="100" w:afterAutospacing="1" w:line="240" w:lineRule="auto"/>
      <w:ind w:firstLine="0"/>
    </w:pPr>
    <w:rPr>
      <w:rFonts w:ascii="Times New Roman" w:eastAsia="Times New Roman" w:hAnsi="Times New Roman" w:cs="Times New Roman"/>
      <w:color w:val="FF0000"/>
      <w:kern w:val="0"/>
      <w:lang w:eastAsia="en-AU"/>
      <w14:ligatures w14:val="none"/>
    </w:rPr>
  </w:style>
  <w:style w:type="paragraph" w:customStyle="1" w:styleId="xl118">
    <w:name w:val="xl118"/>
    <w:basedOn w:val="Normal"/>
    <w:rsid w:val="00F17101"/>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pPr>
    <w:rPr>
      <w:rFonts w:ascii="Times New Roman" w:eastAsia="Times New Roman" w:hAnsi="Times New Roman" w:cs="Times New Roman"/>
      <w:color w:val="FF0000"/>
      <w:kern w:val="0"/>
      <w:lang w:eastAsia="en-AU"/>
      <w14:ligatures w14:val="none"/>
    </w:rPr>
  </w:style>
  <w:style w:type="paragraph" w:customStyle="1" w:styleId="xl119">
    <w:name w:val="xl119"/>
    <w:basedOn w:val="Normal"/>
    <w:rsid w:val="00F17101"/>
    <w:pPr>
      <w:pBdr>
        <w:top w:val="single" w:sz="4" w:space="0" w:color="0070C0"/>
        <w:left w:val="single" w:sz="4" w:space="0" w:color="0070C0"/>
        <w:bottom w:val="single" w:sz="4" w:space="0" w:color="0070C0"/>
      </w:pBdr>
      <w:spacing w:before="100" w:beforeAutospacing="1" w:after="100" w:afterAutospacing="1" w:line="240" w:lineRule="auto"/>
      <w:ind w:firstLine="0"/>
    </w:pPr>
    <w:rPr>
      <w:rFonts w:ascii="Times New Roman" w:eastAsia="Times New Roman" w:hAnsi="Times New Roman" w:cs="Times New Roman"/>
      <w:color w:val="FF0000"/>
      <w:kern w:val="0"/>
      <w:lang w:eastAsia="en-AU"/>
      <w14:ligatures w14:val="none"/>
    </w:rPr>
  </w:style>
  <w:style w:type="paragraph" w:customStyle="1" w:styleId="xl120">
    <w:name w:val="xl120"/>
    <w:basedOn w:val="Normal"/>
    <w:rsid w:val="00F17101"/>
    <w:pPr>
      <w:pBdr>
        <w:top w:val="single" w:sz="4" w:space="0" w:color="0070C0"/>
        <w:left w:val="single" w:sz="8" w:space="0" w:color="0070C0"/>
        <w:bottom w:val="single" w:sz="4" w:space="0" w:color="0070C0"/>
        <w:right w:val="single" w:sz="4" w:space="0" w:color="0070C0"/>
      </w:pBdr>
      <w:spacing w:before="100" w:beforeAutospacing="1" w:after="100" w:afterAutospacing="1" w:line="240" w:lineRule="auto"/>
      <w:ind w:firstLine="0"/>
    </w:pPr>
    <w:rPr>
      <w:rFonts w:ascii="Times New Roman" w:eastAsia="Times New Roman" w:hAnsi="Times New Roman" w:cs="Times New Roman"/>
      <w:color w:val="51C8EA"/>
      <w:kern w:val="0"/>
      <w:sz w:val="32"/>
      <w:szCs w:val="32"/>
      <w:lang w:eastAsia="en-AU"/>
      <w14:ligatures w14:val="none"/>
    </w:rPr>
  </w:style>
  <w:style w:type="paragraph" w:customStyle="1" w:styleId="xl121">
    <w:name w:val="xl121"/>
    <w:basedOn w:val="Normal"/>
    <w:rsid w:val="00F17101"/>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pPr>
    <w:rPr>
      <w:rFonts w:ascii="Times New Roman" w:eastAsia="Times New Roman" w:hAnsi="Times New Roman" w:cs="Times New Roman"/>
      <w:color w:val="51C8EA"/>
      <w:kern w:val="0"/>
      <w:sz w:val="32"/>
      <w:szCs w:val="32"/>
      <w:lang w:eastAsia="en-AU"/>
      <w14:ligatures w14:val="none"/>
    </w:rPr>
  </w:style>
  <w:style w:type="paragraph" w:customStyle="1" w:styleId="xl122">
    <w:name w:val="xl122"/>
    <w:basedOn w:val="Normal"/>
    <w:rsid w:val="00F17101"/>
    <w:pPr>
      <w:pBdr>
        <w:top w:val="single" w:sz="4" w:space="0" w:color="0070C0"/>
        <w:left w:val="single" w:sz="4" w:space="0" w:color="0070C0"/>
        <w:bottom w:val="single" w:sz="4" w:space="0" w:color="0070C0"/>
      </w:pBdr>
      <w:spacing w:before="100" w:beforeAutospacing="1" w:after="100" w:afterAutospacing="1" w:line="240" w:lineRule="auto"/>
      <w:ind w:firstLine="0"/>
    </w:pPr>
    <w:rPr>
      <w:rFonts w:ascii="Times New Roman" w:eastAsia="Times New Roman" w:hAnsi="Times New Roman" w:cs="Times New Roman"/>
      <w:color w:val="51C8EA"/>
      <w:kern w:val="0"/>
      <w:sz w:val="32"/>
      <w:szCs w:val="32"/>
      <w:lang w:eastAsia="en-AU"/>
      <w14:ligatures w14:val="none"/>
    </w:rPr>
  </w:style>
  <w:style w:type="paragraph" w:customStyle="1" w:styleId="xl123">
    <w:name w:val="xl123"/>
    <w:basedOn w:val="Normal"/>
    <w:rsid w:val="00F17101"/>
    <w:pPr>
      <w:pBdr>
        <w:top w:val="single" w:sz="4" w:space="0" w:color="0070C0"/>
        <w:left w:val="single" w:sz="8" w:space="0" w:color="0070C0"/>
        <w:bottom w:val="single" w:sz="4" w:space="0" w:color="0070C0"/>
        <w:right w:val="single" w:sz="4" w:space="0" w:color="0070C0"/>
      </w:pBdr>
      <w:spacing w:before="100" w:beforeAutospacing="1" w:after="100" w:afterAutospacing="1" w:line="240" w:lineRule="auto"/>
      <w:ind w:firstLine="0"/>
    </w:pPr>
    <w:rPr>
      <w:rFonts w:ascii="Times New Roman" w:eastAsia="Times New Roman" w:hAnsi="Times New Roman" w:cs="Times New Roman"/>
      <w:b/>
      <w:bCs/>
      <w:color w:val="FF0000"/>
      <w:kern w:val="0"/>
      <w:lang w:eastAsia="en-AU"/>
      <w14:ligatures w14:val="none"/>
    </w:rPr>
  </w:style>
  <w:style w:type="paragraph" w:customStyle="1" w:styleId="xl124">
    <w:name w:val="xl124"/>
    <w:basedOn w:val="Normal"/>
    <w:rsid w:val="00F17101"/>
    <w:pPr>
      <w:pBdr>
        <w:top w:val="single" w:sz="4" w:space="0" w:color="0070C0"/>
        <w:left w:val="single" w:sz="4" w:space="0" w:color="0070C0"/>
        <w:bottom w:val="single" w:sz="4" w:space="0" w:color="0070C0"/>
        <w:right w:val="single" w:sz="4" w:space="0" w:color="0070C0"/>
      </w:pBdr>
      <w:spacing w:before="100" w:beforeAutospacing="1" w:after="100" w:afterAutospacing="1" w:line="240" w:lineRule="auto"/>
      <w:ind w:firstLine="0"/>
    </w:pPr>
    <w:rPr>
      <w:rFonts w:ascii="Times New Roman" w:eastAsia="Times New Roman" w:hAnsi="Times New Roman" w:cs="Times New Roman"/>
      <w:b/>
      <w:bCs/>
      <w:color w:val="FF0000"/>
      <w:kern w:val="0"/>
      <w:lang w:eastAsia="en-AU"/>
      <w14:ligatures w14:val="none"/>
    </w:rPr>
  </w:style>
  <w:style w:type="paragraph" w:customStyle="1" w:styleId="xl125">
    <w:name w:val="xl125"/>
    <w:basedOn w:val="Normal"/>
    <w:rsid w:val="00F17101"/>
    <w:pPr>
      <w:pBdr>
        <w:top w:val="single" w:sz="4" w:space="0" w:color="0070C0"/>
        <w:left w:val="single" w:sz="4" w:space="0" w:color="0070C0"/>
        <w:bottom w:val="single" w:sz="4" w:space="0" w:color="0070C0"/>
      </w:pBdr>
      <w:spacing w:before="100" w:beforeAutospacing="1" w:after="100" w:afterAutospacing="1" w:line="240" w:lineRule="auto"/>
      <w:ind w:firstLine="0"/>
    </w:pPr>
    <w:rPr>
      <w:rFonts w:ascii="Times New Roman" w:eastAsia="Times New Roman" w:hAnsi="Times New Roman" w:cs="Times New Roman"/>
      <w:b/>
      <w:bCs/>
      <w:color w:val="FF0000"/>
      <w:kern w:val="0"/>
      <w:lang w:eastAsia="en-AU"/>
      <w14:ligatures w14:val="none"/>
    </w:rPr>
  </w:style>
  <w:style w:type="paragraph" w:customStyle="1" w:styleId="p1">
    <w:name w:val="p1"/>
    <w:basedOn w:val="Normal"/>
    <w:rsid w:val="00441C9E"/>
    <w:pPr>
      <w:spacing w:line="240" w:lineRule="auto"/>
      <w:ind w:firstLine="0"/>
    </w:pPr>
    <w:rPr>
      <w:rFonts w:ascii="Helvetica" w:eastAsiaTheme="minorEastAsia" w:hAnsi="Helvetica" w:cs="Times New Roman"/>
      <w:color w:val="2C384A"/>
      <w:kern w:val="0"/>
      <w:sz w:val="15"/>
      <w:szCs w:val="15"/>
      <w:lang w:eastAsia="en-GB"/>
      <w14:ligatures w14:val="none"/>
    </w:rPr>
  </w:style>
  <w:style w:type="character" w:customStyle="1" w:styleId="apple-converted-space">
    <w:name w:val="apple-converted-space"/>
    <w:basedOn w:val="DefaultParagraphFont"/>
    <w:rsid w:val="00441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9781394260409.ch12" TargetMode="External"/><Relationship Id="rId18" Type="http://schemas.openxmlformats.org/officeDocument/2006/relationships/hyperlink" Target="https://doi.org/10.1111/1467-8462.12386" TargetMode="External"/><Relationship Id="rId26" Type="http://schemas.openxmlformats.org/officeDocument/2006/relationships/hyperlink" Target="https://doi.org/10.1016/j.emj.2022.03.009" TargetMode="External"/><Relationship Id="rId39" Type="http://schemas.openxmlformats.org/officeDocument/2006/relationships/hyperlink" Target="https://doi.org/10.1080/13639080.2020.1716309" TargetMode="External"/><Relationship Id="rId21" Type="http://schemas.openxmlformats.org/officeDocument/2006/relationships/hyperlink" Target="https://doi.org/10.1007/978-94-6300-034-5_4" TargetMode="External"/><Relationship Id="rId34" Type="http://schemas.openxmlformats.org/officeDocument/2006/relationships/hyperlink" Target="https://doi.org/10.1186/s40461-017-0053-4" TargetMode="External"/><Relationship Id="rId42" Type="http://schemas.openxmlformats.org/officeDocument/2006/relationships/hyperlink" Target="https://doi.org/10.1002/cdq.12119" TargetMode="External"/><Relationship Id="rId47" Type="http://schemas.openxmlformats.org/officeDocument/2006/relationships/hyperlink" Target="https://www.education.vic.gov.au/about/careers/teacher/Pages/qualifying.aspx" TargetMode="External"/><Relationship Id="rId50" Type="http://schemas.openxmlformats.org/officeDocument/2006/relationships/hyperlink" Target="https://doi.org/10.1016/j.cedpsych.2022.102057"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77/1038416221994312" TargetMode="External"/><Relationship Id="rId29" Type="http://schemas.openxmlformats.org/officeDocument/2006/relationships/hyperlink" Target="https://doi.org/10.1177/1069072716679921" TargetMode="External"/><Relationship Id="rId11" Type="http://schemas.openxmlformats.org/officeDocument/2006/relationships/hyperlink" Target="https://apastyle.apa.org/instructional-aids/reference-examples.pdf" TargetMode="External"/><Relationship Id="rId24" Type="http://schemas.openxmlformats.org/officeDocument/2006/relationships/hyperlink" Target="https://doi.org/10.3316/informit.T2024050900000400569472539" TargetMode="External"/><Relationship Id="rId32" Type="http://schemas.openxmlformats.org/officeDocument/2006/relationships/hyperlink" Target="https://doi.org/10.1007/s10775-021-09515-x" TargetMode="External"/><Relationship Id="rId37" Type="http://schemas.openxmlformats.org/officeDocument/2006/relationships/hyperlink" Target="https://doi.org/10.1016/j.jvb.2016.10.002" TargetMode="External"/><Relationship Id="rId40" Type="http://schemas.openxmlformats.org/officeDocument/2006/relationships/hyperlink" Target="https://doi.org/10.1177/0004944120919890" TargetMode="External"/><Relationship Id="rId45" Type="http://schemas.openxmlformats.org/officeDocument/2006/relationships/hyperlink" Target="https://doi.org/10.1016/j.jvb.2012.01.011" TargetMode="External"/><Relationship Id="rId53" Type="http://schemas.openxmlformats.org/officeDocument/2006/relationships/hyperlink" Target="https://doi.org/10.1007/s10763-022-10267-5" TargetMode="External"/><Relationship Id="rId5" Type="http://schemas.openxmlformats.org/officeDocument/2006/relationships/webSettings" Target="webSettings.xml"/><Relationship Id="rId10" Type="http://schemas.openxmlformats.org/officeDocument/2006/relationships/hyperlink" Target="mailto:tametm@hotmail.com" TargetMode="External"/><Relationship Id="rId19" Type="http://schemas.openxmlformats.org/officeDocument/2006/relationships/hyperlink" Target="https://doi.org/10.1080/2159676x.2019.1628806" TargetMode="External"/><Relationship Id="rId31" Type="http://schemas.openxmlformats.org/officeDocument/2006/relationships/hyperlink" Target="https://doi.org/10.3390/educsci13030297" TargetMode="External"/><Relationship Id="rId44" Type="http://schemas.openxmlformats.org/officeDocument/2006/relationships/hyperlink" Target="http://www.vocopher.com/ms/caas/CAAS%20master.pdf" TargetMode="External"/><Relationship Id="rId52" Type="http://schemas.openxmlformats.org/officeDocument/2006/relationships/hyperlink" Target="https://doi.org/10.1007/s10763-024-10504-z" TargetMode="External"/><Relationship Id="rId4" Type="http://schemas.openxmlformats.org/officeDocument/2006/relationships/settings" Target="settings.xml"/><Relationship Id="rId9" Type="http://schemas.openxmlformats.org/officeDocument/2006/relationships/hyperlink" Target="mailto:m.evangelista@boxhill.edu.au" TargetMode="External"/><Relationship Id="rId14" Type="http://schemas.openxmlformats.org/officeDocument/2006/relationships/hyperlink" Target="https://view.officeapps.live.com/op/view.aspx?src=https%3A%2F%2Flabourmarketinsights.gov.au%2Fmedia%2Fsxadvtpi%2Fstem-occupations-list.xlsx&amp;wdOrigin=BROWSELINK" TargetMode="External"/><Relationship Id="rId22" Type="http://schemas.openxmlformats.org/officeDocument/2006/relationships/hyperlink" Target="https://doi.org/10.1080/14480220.2021.1905684" TargetMode="External"/><Relationship Id="rId27" Type="http://schemas.openxmlformats.org/officeDocument/2006/relationships/hyperlink" Target="https://doi.org/10.1080/14480220.2015.1051348" TargetMode="External"/><Relationship Id="rId30" Type="http://schemas.openxmlformats.org/officeDocument/2006/relationships/hyperlink" Target="https://doi.org/10.1177/1038416219886116" TargetMode="External"/><Relationship Id="rId35" Type="http://schemas.openxmlformats.org/officeDocument/2006/relationships/hyperlink" Target="https://doi.org/10.3316/informit.266265177906130" TargetMode="External"/><Relationship Id="rId43" Type="http://schemas.openxmlformats.org/officeDocument/2006/relationships/hyperlink" Target="https://doi.org/10.1002/j.2161-0045.1997.tb00469.x" TargetMode="External"/><Relationship Id="rId48" Type="http://schemas.openxmlformats.org/officeDocument/2006/relationships/hyperlink" Target="https://www.vic.gov.au/vet-good-fit-me" TargetMode="External"/><Relationship Id="rId8" Type="http://schemas.openxmlformats.org/officeDocument/2006/relationships/image" Target="media/image1.emf"/><Relationship Id="rId51" Type="http://schemas.openxmlformats.org/officeDocument/2006/relationships/hyperlink" Target="https://doi.org/10.15503/jecs2020.2.403.421" TargetMode="Externa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hyperlink" Target="https://doi.org/10.1186/s40594-018-0118-3" TargetMode="External"/><Relationship Id="rId25" Type="http://schemas.openxmlformats.org/officeDocument/2006/relationships/hyperlink" Target="https://doi.org/10.1007/s42330-020-00105-7" TargetMode="External"/><Relationship Id="rId33" Type="http://schemas.openxmlformats.org/officeDocument/2006/relationships/hyperlink" Target="https://doi.org/10.1002/ajs4.142" TargetMode="External"/><Relationship Id="rId38" Type="http://schemas.openxmlformats.org/officeDocument/2006/relationships/hyperlink" Target="https://ontargetworkskills.com/2021/03/15/learning-styles-and-the-australian-vet-system/" TargetMode="External"/><Relationship Id="rId46" Type="http://schemas.openxmlformats.org/officeDocument/2006/relationships/hyperlink" Target="https://doi.org/10.29333/iejme/13060" TargetMode="External"/><Relationship Id="rId20" Type="http://schemas.openxmlformats.org/officeDocument/2006/relationships/hyperlink" Target="https://doi.org/10.1007/978-981-10-5251-4_103" TargetMode="External"/><Relationship Id="rId41" Type="http://schemas.openxmlformats.org/officeDocument/2006/relationships/hyperlink" Target="https://doi.org/10.1007/978-3-319-66954-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sqa.gov.au/rtos/what-is-an-rto" TargetMode="External"/><Relationship Id="rId23" Type="http://schemas.openxmlformats.org/officeDocument/2006/relationships/hyperlink" Target="https://www.education.gov.au/higher-education/announcements/vocational-degree-new-degreelevel-qualification-type-vet" TargetMode="External"/><Relationship Id="rId28" Type="http://schemas.openxmlformats.org/officeDocument/2006/relationships/hyperlink" Target="https://doi.org/10.1002/cdq.12142" TargetMode="External"/><Relationship Id="rId36" Type="http://schemas.openxmlformats.org/officeDocument/2006/relationships/hyperlink" Target="https://doi.org/10.1007/978-981-16-1614-3" TargetMode="External"/><Relationship Id="rId49" Type="http://schemas.openxmlformats.org/officeDocument/2006/relationships/hyperlink" Target="https://doi.org/10.1080/030698881082582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299BF-86AF-4BD1-B323-13B39EE5B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11793</Words>
  <Characters>52833</Characters>
  <Application>Microsoft Office Word</Application>
  <DocSecurity>0</DocSecurity>
  <Lines>5283</Lines>
  <Paragraphs>4039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60587</CharactersWithSpaces>
  <SharedDoc>false</SharedDoc>
  <HLinks>
    <vt:vector size="264" baseType="variant">
      <vt:variant>
        <vt:i4>2424881</vt:i4>
      </vt:variant>
      <vt:variant>
        <vt:i4>294</vt:i4>
      </vt:variant>
      <vt:variant>
        <vt:i4>0</vt:i4>
      </vt:variant>
      <vt:variant>
        <vt:i4>5</vt:i4>
      </vt:variant>
      <vt:variant>
        <vt:lpwstr>https://doi.org/10.1007/s10763-022-10267-5</vt:lpwstr>
      </vt:variant>
      <vt:variant>
        <vt:lpwstr/>
      </vt:variant>
      <vt:variant>
        <vt:i4>6815799</vt:i4>
      </vt:variant>
      <vt:variant>
        <vt:i4>291</vt:i4>
      </vt:variant>
      <vt:variant>
        <vt:i4>0</vt:i4>
      </vt:variant>
      <vt:variant>
        <vt:i4>5</vt:i4>
      </vt:variant>
      <vt:variant>
        <vt:lpwstr>https://doi.org/10.1007/s10763-024-10504-z</vt:lpwstr>
      </vt:variant>
      <vt:variant>
        <vt:lpwstr/>
      </vt:variant>
      <vt:variant>
        <vt:i4>3080295</vt:i4>
      </vt:variant>
      <vt:variant>
        <vt:i4>288</vt:i4>
      </vt:variant>
      <vt:variant>
        <vt:i4>0</vt:i4>
      </vt:variant>
      <vt:variant>
        <vt:i4>5</vt:i4>
      </vt:variant>
      <vt:variant>
        <vt:lpwstr>https://doi.org/10.15503/jecs2020.2.403.421</vt:lpwstr>
      </vt:variant>
      <vt:variant>
        <vt:lpwstr/>
      </vt:variant>
      <vt:variant>
        <vt:i4>2162747</vt:i4>
      </vt:variant>
      <vt:variant>
        <vt:i4>285</vt:i4>
      </vt:variant>
      <vt:variant>
        <vt:i4>0</vt:i4>
      </vt:variant>
      <vt:variant>
        <vt:i4>5</vt:i4>
      </vt:variant>
      <vt:variant>
        <vt:lpwstr>https://doi.org/10.1016/j.cedpsych.2022.102057</vt:lpwstr>
      </vt:variant>
      <vt:variant>
        <vt:lpwstr/>
      </vt:variant>
      <vt:variant>
        <vt:i4>1376341</vt:i4>
      </vt:variant>
      <vt:variant>
        <vt:i4>282</vt:i4>
      </vt:variant>
      <vt:variant>
        <vt:i4>0</vt:i4>
      </vt:variant>
      <vt:variant>
        <vt:i4>5</vt:i4>
      </vt:variant>
      <vt:variant>
        <vt:lpwstr>https://doi.org/10.1080/03069888108258214</vt:lpwstr>
      </vt:variant>
      <vt:variant>
        <vt:lpwstr/>
      </vt:variant>
      <vt:variant>
        <vt:i4>3997750</vt:i4>
      </vt:variant>
      <vt:variant>
        <vt:i4>279</vt:i4>
      </vt:variant>
      <vt:variant>
        <vt:i4>0</vt:i4>
      </vt:variant>
      <vt:variant>
        <vt:i4>5</vt:i4>
      </vt:variant>
      <vt:variant>
        <vt:lpwstr>https://www.vic.gov.au/vet-good-fit-me</vt:lpwstr>
      </vt:variant>
      <vt:variant>
        <vt:lpwstr/>
      </vt:variant>
      <vt:variant>
        <vt:i4>5505050</vt:i4>
      </vt:variant>
      <vt:variant>
        <vt:i4>276</vt:i4>
      </vt:variant>
      <vt:variant>
        <vt:i4>0</vt:i4>
      </vt:variant>
      <vt:variant>
        <vt:i4>5</vt:i4>
      </vt:variant>
      <vt:variant>
        <vt:lpwstr>https://www.education.vic.gov.au/about/careers/teacher/Pages/qualifying.aspx</vt:lpwstr>
      </vt:variant>
      <vt:variant>
        <vt:lpwstr/>
      </vt:variant>
      <vt:variant>
        <vt:i4>5767261</vt:i4>
      </vt:variant>
      <vt:variant>
        <vt:i4>273</vt:i4>
      </vt:variant>
      <vt:variant>
        <vt:i4>0</vt:i4>
      </vt:variant>
      <vt:variant>
        <vt:i4>5</vt:i4>
      </vt:variant>
      <vt:variant>
        <vt:lpwstr>https://doi.org/10.29333/iejme/13060</vt:lpwstr>
      </vt:variant>
      <vt:variant>
        <vt:lpwstr/>
      </vt:variant>
      <vt:variant>
        <vt:i4>4784146</vt:i4>
      </vt:variant>
      <vt:variant>
        <vt:i4>270</vt:i4>
      </vt:variant>
      <vt:variant>
        <vt:i4>0</vt:i4>
      </vt:variant>
      <vt:variant>
        <vt:i4>5</vt:i4>
      </vt:variant>
      <vt:variant>
        <vt:lpwstr>https://doi.org/10.1016/j.jvb.2012.01.011</vt:lpwstr>
      </vt:variant>
      <vt:variant>
        <vt:lpwstr/>
      </vt:variant>
      <vt:variant>
        <vt:i4>3670049</vt:i4>
      </vt:variant>
      <vt:variant>
        <vt:i4>267</vt:i4>
      </vt:variant>
      <vt:variant>
        <vt:i4>0</vt:i4>
      </vt:variant>
      <vt:variant>
        <vt:i4>5</vt:i4>
      </vt:variant>
      <vt:variant>
        <vt:lpwstr>http://www.vocopher.com/ms/caas/CAAS master.pdf</vt:lpwstr>
      </vt:variant>
      <vt:variant>
        <vt:lpwstr/>
      </vt:variant>
      <vt:variant>
        <vt:i4>2621554</vt:i4>
      </vt:variant>
      <vt:variant>
        <vt:i4>264</vt:i4>
      </vt:variant>
      <vt:variant>
        <vt:i4>0</vt:i4>
      </vt:variant>
      <vt:variant>
        <vt:i4>5</vt:i4>
      </vt:variant>
      <vt:variant>
        <vt:lpwstr>https://doi.org/10.1002/j.2161-0045.1997.tb00469.x</vt:lpwstr>
      </vt:variant>
      <vt:variant>
        <vt:lpwstr/>
      </vt:variant>
      <vt:variant>
        <vt:i4>5898314</vt:i4>
      </vt:variant>
      <vt:variant>
        <vt:i4>261</vt:i4>
      </vt:variant>
      <vt:variant>
        <vt:i4>0</vt:i4>
      </vt:variant>
      <vt:variant>
        <vt:i4>5</vt:i4>
      </vt:variant>
      <vt:variant>
        <vt:lpwstr>https://doi.org/10.1002/cdq.12119</vt:lpwstr>
      </vt:variant>
      <vt:variant>
        <vt:lpwstr/>
      </vt:variant>
      <vt:variant>
        <vt:i4>1441886</vt:i4>
      </vt:variant>
      <vt:variant>
        <vt:i4>258</vt:i4>
      </vt:variant>
      <vt:variant>
        <vt:i4>0</vt:i4>
      </vt:variant>
      <vt:variant>
        <vt:i4>5</vt:i4>
      </vt:variant>
      <vt:variant>
        <vt:lpwstr>https://doi.org/10.1007/978-3-319-66954-0</vt:lpwstr>
      </vt:variant>
      <vt:variant>
        <vt:lpwstr/>
      </vt:variant>
      <vt:variant>
        <vt:i4>1835098</vt:i4>
      </vt:variant>
      <vt:variant>
        <vt:i4>255</vt:i4>
      </vt:variant>
      <vt:variant>
        <vt:i4>0</vt:i4>
      </vt:variant>
      <vt:variant>
        <vt:i4>5</vt:i4>
      </vt:variant>
      <vt:variant>
        <vt:lpwstr>https://doi.org/10.1177/0004944120919890</vt:lpwstr>
      </vt:variant>
      <vt:variant>
        <vt:lpwstr/>
      </vt:variant>
      <vt:variant>
        <vt:i4>262209</vt:i4>
      </vt:variant>
      <vt:variant>
        <vt:i4>252</vt:i4>
      </vt:variant>
      <vt:variant>
        <vt:i4>0</vt:i4>
      </vt:variant>
      <vt:variant>
        <vt:i4>5</vt:i4>
      </vt:variant>
      <vt:variant>
        <vt:lpwstr>https://doi.org/10.1080/13639080.2020.1716309</vt:lpwstr>
      </vt:variant>
      <vt:variant>
        <vt:lpwstr/>
      </vt:variant>
      <vt:variant>
        <vt:i4>196685</vt:i4>
      </vt:variant>
      <vt:variant>
        <vt:i4>249</vt:i4>
      </vt:variant>
      <vt:variant>
        <vt:i4>0</vt:i4>
      </vt:variant>
      <vt:variant>
        <vt:i4>5</vt:i4>
      </vt:variant>
      <vt:variant>
        <vt:lpwstr>https://ontargetworkskills.com/2021/03/15/learning-styles-and-the-australian-vet-system/</vt:lpwstr>
      </vt:variant>
      <vt:variant>
        <vt:lpwstr/>
      </vt:variant>
      <vt:variant>
        <vt:i4>5046291</vt:i4>
      </vt:variant>
      <vt:variant>
        <vt:i4>246</vt:i4>
      </vt:variant>
      <vt:variant>
        <vt:i4>0</vt:i4>
      </vt:variant>
      <vt:variant>
        <vt:i4>5</vt:i4>
      </vt:variant>
      <vt:variant>
        <vt:lpwstr>https://doi.org/10.1016/j.jvb.2016.10.002</vt:lpwstr>
      </vt:variant>
      <vt:variant>
        <vt:lpwstr/>
      </vt:variant>
      <vt:variant>
        <vt:i4>458826</vt:i4>
      </vt:variant>
      <vt:variant>
        <vt:i4>243</vt:i4>
      </vt:variant>
      <vt:variant>
        <vt:i4>0</vt:i4>
      </vt:variant>
      <vt:variant>
        <vt:i4>5</vt:i4>
      </vt:variant>
      <vt:variant>
        <vt:lpwstr>https://doi.org/10.1007/978-981-16-1614-3</vt:lpwstr>
      </vt:variant>
      <vt:variant>
        <vt:lpwstr/>
      </vt:variant>
      <vt:variant>
        <vt:i4>852063</vt:i4>
      </vt:variant>
      <vt:variant>
        <vt:i4>240</vt:i4>
      </vt:variant>
      <vt:variant>
        <vt:i4>0</vt:i4>
      </vt:variant>
      <vt:variant>
        <vt:i4>5</vt:i4>
      </vt:variant>
      <vt:variant>
        <vt:lpwstr>https://doi.org/10.3316/informit.266265177906130</vt:lpwstr>
      </vt:variant>
      <vt:variant>
        <vt:lpwstr/>
      </vt:variant>
      <vt:variant>
        <vt:i4>327706</vt:i4>
      </vt:variant>
      <vt:variant>
        <vt:i4>237</vt:i4>
      </vt:variant>
      <vt:variant>
        <vt:i4>0</vt:i4>
      </vt:variant>
      <vt:variant>
        <vt:i4>5</vt:i4>
      </vt:variant>
      <vt:variant>
        <vt:lpwstr>https://doi.org/10.1186/s40461-017-0053-4</vt:lpwstr>
      </vt:variant>
      <vt:variant>
        <vt:lpwstr/>
      </vt:variant>
      <vt:variant>
        <vt:i4>5111888</vt:i4>
      </vt:variant>
      <vt:variant>
        <vt:i4>234</vt:i4>
      </vt:variant>
      <vt:variant>
        <vt:i4>0</vt:i4>
      </vt:variant>
      <vt:variant>
        <vt:i4>5</vt:i4>
      </vt:variant>
      <vt:variant>
        <vt:lpwstr>https://doi.org/10.1002/ajs4.142</vt:lpwstr>
      </vt:variant>
      <vt:variant>
        <vt:lpwstr/>
      </vt:variant>
      <vt:variant>
        <vt:i4>6881342</vt:i4>
      </vt:variant>
      <vt:variant>
        <vt:i4>231</vt:i4>
      </vt:variant>
      <vt:variant>
        <vt:i4>0</vt:i4>
      </vt:variant>
      <vt:variant>
        <vt:i4>5</vt:i4>
      </vt:variant>
      <vt:variant>
        <vt:lpwstr>https://doi.org/10.1007/s10775-021-09515-x</vt:lpwstr>
      </vt:variant>
      <vt:variant>
        <vt:lpwstr/>
      </vt:variant>
      <vt:variant>
        <vt:i4>7602273</vt:i4>
      </vt:variant>
      <vt:variant>
        <vt:i4>228</vt:i4>
      </vt:variant>
      <vt:variant>
        <vt:i4>0</vt:i4>
      </vt:variant>
      <vt:variant>
        <vt:i4>5</vt:i4>
      </vt:variant>
      <vt:variant>
        <vt:lpwstr>https://doi.org/10.3390/educsci13030297</vt:lpwstr>
      </vt:variant>
      <vt:variant>
        <vt:lpwstr/>
      </vt:variant>
      <vt:variant>
        <vt:i4>1638482</vt:i4>
      </vt:variant>
      <vt:variant>
        <vt:i4>225</vt:i4>
      </vt:variant>
      <vt:variant>
        <vt:i4>0</vt:i4>
      </vt:variant>
      <vt:variant>
        <vt:i4>5</vt:i4>
      </vt:variant>
      <vt:variant>
        <vt:lpwstr>https://doi.org/10.1177/1038416219886116</vt:lpwstr>
      </vt:variant>
      <vt:variant>
        <vt:lpwstr/>
      </vt:variant>
      <vt:variant>
        <vt:i4>1310805</vt:i4>
      </vt:variant>
      <vt:variant>
        <vt:i4>222</vt:i4>
      </vt:variant>
      <vt:variant>
        <vt:i4>0</vt:i4>
      </vt:variant>
      <vt:variant>
        <vt:i4>5</vt:i4>
      </vt:variant>
      <vt:variant>
        <vt:lpwstr>https://doi.org/10.1177/1069072716679921</vt:lpwstr>
      </vt:variant>
      <vt:variant>
        <vt:lpwstr/>
      </vt:variant>
      <vt:variant>
        <vt:i4>6225994</vt:i4>
      </vt:variant>
      <vt:variant>
        <vt:i4>219</vt:i4>
      </vt:variant>
      <vt:variant>
        <vt:i4>0</vt:i4>
      </vt:variant>
      <vt:variant>
        <vt:i4>5</vt:i4>
      </vt:variant>
      <vt:variant>
        <vt:lpwstr>https://doi.org/10.1002/cdq.12142</vt:lpwstr>
      </vt:variant>
      <vt:variant>
        <vt:lpwstr/>
      </vt:variant>
      <vt:variant>
        <vt:i4>852033</vt:i4>
      </vt:variant>
      <vt:variant>
        <vt:i4>216</vt:i4>
      </vt:variant>
      <vt:variant>
        <vt:i4>0</vt:i4>
      </vt:variant>
      <vt:variant>
        <vt:i4>5</vt:i4>
      </vt:variant>
      <vt:variant>
        <vt:lpwstr>https://doi.org/10.1080/14480220.2015.1051348</vt:lpwstr>
      </vt:variant>
      <vt:variant>
        <vt:lpwstr/>
      </vt:variant>
      <vt:variant>
        <vt:i4>5439508</vt:i4>
      </vt:variant>
      <vt:variant>
        <vt:i4>213</vt:i4>
      </vt:variant>
      <vt:variant>
        <vt:i4>0</vt:i4>
      </vt:variant>
      <vt:variant>
        <vt:i4>5</vt:i4>
      </vt:variant>
      <vt:variant>
        <vt:lpwstr>https://doi.org/10.1016/j.emj.2022.03.009</vt:lpwstr>
      </vt:variant>
      <vt:variant>
        <vt:lpwstr/>
      </vt:variant>
      <vt:variant>
        <vt:i4>2555952</vt:i4>
      </vt:variant>
      <vt:variant>
        <vt:i4>210</vt:i4>
      </vt:variant>
      <vt:variant>
        <vt:i4>0</vt:i4>
      </vt:variant>
      <vt:variant>
        <vt:i4>5</vt:i4>
      </vt:variant>
      <vt:variant>
        <vt:lpwstr>https://doi.org/10.1007/s42330-020-00105-7</vt:lpwstr>
      </vt:variant>
      <vt:variant>
        <vt:lpwstr/>
      </vt:variant>
      <vt:variant>
        <vt:i4>7536747</vt:i4>
      </vt:variant>
      <vt:variant>
        <vt:i4>207</vt:i4>
      </vt:variant>
      <vt:variant>
        <vt:i4>0</vt:i4>
      </vt:variant>
      <vt:variant>
        <vt:i4>5</vt:i4>
      </vt:variant>
      <vt:variant>
        <vt:lpwstr>https://doi.org/10.3316/informit.T2024050900000400569472539</vt:lpwstr>
      </vt:variant>
      <vt:variant>
        <vt:lpwstr/>
      </vt:variant>
      <vt:variant>
        <vt:i4>196614</vt:i4>
      </vt:variant>
      <vt:variant>
        <vt:i4>204</vt:i4>
      </vt:variant>
      <vt:variant>
        <vt:i4>0</vt:i4>
      </vt:variant>
      <vt:variant>
        <vt:i4>5</vt:i4>
      </vt:variant>
      <vt:variant>
        <vt:lpwstr>https://www.education.gov.au/higher-education/announcements/vocational-degree-new-degreelevel-qualification-type-vet</vt:lpwstr>
      </vt:variant>
      <vt:variant>
        <vt:lpwstr/>
      </vt:variant>
      <vt:variant>
        <vt:i4>983109</vt:i4>
      </vt:variant>
      <vt:variant>
        <vt:i4>201</vt:i4>
      </vt:variant>
      <vt:variant>
        <vt:i4>0</vt:i4>
      </vt:variant>
      <vt:variant>
        <vt:i4>5</vt:i4>
      </vt:variant>
      <vt:variant>
        <vt:lpwstr>https://doi.org/10.1080/14480220.2021.1905684</vt:lpwstr>
      </vt:variant>
      <vt:variant>
        <vt:lpwstr/>
      </vt:variant>
      <vt:variant>
        <vt:i4>5701754</vt:i4>
      </vt:variant>
      <vt:variant>
        <vt:i4>198</vt:i4>
      </vt:variant>
      <vt:variant>
        <vt:i4>0</vt:i4>
      </vt:variant>
      <vt:variant>
        <vt:i4>5</vt:i4>
      </vt:variant>
      <vt:variant>
        <vt:lpwstr>https://doi.org/10.1007/978-94-6300-034-5_4</vt:lpwstr>
      </vt:variant>
      <vt:variant>
        <vt:lpwstr/>
      </vt:variant>
      <vt:variant>
        <vt:i4>7209038</vt:i4>
      </vt:variant>
      <vt:variant>
        <vt:i4>195</vt:i4>
      </vt:variant>
      <vt:variant>
        <vt:i4>0</vt:i4>
      </vt:variant>
      <vt:variant>
        <vt:i4>5</vt:i4>
      </vt:variant>
      <vt:variant>
        <vt:lpwstr>https://doi.org/10.1007/978-981-10-5251-4_103</vt:lpwstr>
      </vt:variant>
      <vt:variant>
        <vt:lpwstr/>
      </vt:variant>
      <vt:variant>
        <vt:i4>5177409</vt:i4>
      </vt:variant>
      <vt:variant>
        <vt:i4>192</vt:i4>
      </vt:variant>
      <vt:variant>
        <vt:i4>0</vt:i4>
      </vt:variant>
      <vt:variant>
        <vt:i4>5</vt:i4>
      </vt:variant>
      <vt:variant>
        <vt:lpwstr>https://doi.org/10.1080/2159676x.2019.1628806</vt:lpwstr>
      </vt:variant>
      <vt:variant>
        <vt:lpwstr/>
      </vt:variant>
      <vt:variant>
        <vt:i4>3866740</vt:i4>
      </vt:variant>
      <vt:variant>
        <vt:i4>189</vt:i4>
      </vt:variant>
      <vt:variant>
        <vt:i4>0</vt:i4>
      </vt:variant>
      <vt:variant>
        <vt:i4>5</vt:i4>
      </vt:variant>
      <vt:variant>
        <vt:lpwstr>https://doi.org/10.1111/1467-8462.12386</vt:lpwstr>
      </vt:variant>
      <vt:variant>
        <vt:lpwstr/>
      </vt:variant>
      <vt:variant>
        <vt:i4>655391</vt:i4>
      </vt:variant>
      <vt:variant>
        <vt:i4>186</vt:i4>
      </vt:variant>
      <vt:variant>
        <vt:i4>0</vt:i4>
      </vt:variant>
      <vt:variant>
        <vt:i4>5</vt:i4>
      </vt:variant>
      <vt:variant>
        <vt:lpwstr>https://doi.org/10.1186/s40594-018-0118-3</vt:lpwstr>
      </vt:variant>
      <vt:variant>
        <vt:lpwstr/>
      </vt:variant>
      <vt:variant>
        <vt:i4>1441874</vt:i4>
      </vt:variant>
      <vt:variant>
        <vt:i4>183</vt:i4>
      </vt:variant>
      <vt:variant>
        <vt:i4>0</vt:i4>
      </vt:variant>
      <vt:variant>
        <vt:i4>5</vt:i4>
      </vt:variant>
      <vt:variant>
        <vt:lpwstr>https://doi.org/10.1177/1038416221994312</vt:lpwstr>
      </vt:variant>
      <vt:variant>
        <vt:lpwstr/>
      </vt:variant>
      <vt:variant>
        <vt:i4>7471164</vt:i4>
      </vt:variant>
      <vt:variant>
        <vt:i4>180</vt:i4>
      </vt:variant>
      <vt:variant>
        <vt:i4>0</vt:i4>
      </vt:variant>
      <vt:variant>
        <vt:i4>5</vt:i4>
      </vt:variant>
      <vt:variant>
        <vt:lpwstr>https://www.asqa.gov.au/rtos/what-is-an-rto</vt:lpwstr>
      </vt:variant>
      <vt:variant>
        <vt:lpwstr/>
      </vt:variant>
      <vt:variant>
        <vt:i4>3276850</vt:i4>
      </vt:variant>
      <vt:variant>
        <vt:i4>177</vt:i4>
      </vt:variant>
      <vt:variant>
        <vt:i4>0</vt:i4>
      </vt:variant>
      <vt:variant>
        <vt:i4>5</vt:i4>
      </vt:variant>
      <vt:variant>
        <vt:lpwstr>https://view.officeapps.live.com/op/view.aspx?src=https%3A%2F%2Flabourmarketinsights.gov.au%2Fmedia%2Fsxadvtpi%2Fstem-occupations-list.xlsx&amp;wdOrigin=BROWSELINK</vt:lpwstr>
      </vt:variant>
      <vt:variant>
        <vt:lpwstr/>
      </vt:variant>
      <vt:variant>
        <vt:i4>6946871</vt:i4>
      </vt:variant>
      <vt:variant>
        <vt:i4>174</vt:i4>
      </vt:variant>
      <vt:variant>
        <vt:i4>0</vt:i4>
      </vt:variant>
      <vt:variant>
        <vt:i4>5</vt:i4>
      </vt:variant>
      <vt:variant>
        <vt:lpwstr>https://doi.org/10.1002/9781394260409.ch12</vt:lpwstr>
      </vt:variant>
      <vt:variant>
        <vt:lpwstr/>
      </vt:variant>
      <vt:variant>
        <vt:i4>8061025</vt:i4>
      </vt:variant>
      <vt:variant>
        <vt:i4>6</vt:i4>
      </vt:variant>
      <vt:variant>
        <vt:i4>0</vt:i4>
      </vt:variant>
      <vt:variant>
        <vt:i4>5</vt:i4>
      </vt:variant>
      <vt:variant>
        <vt:lpwstr>https://apastyle.apa.org/instructional-aids/reference-examples.pdf</vt:lpwstr>
      </vt:variant>
      <vt:variant>
        <vt:lpwstr/>
      </vt:variant>
      <vt:variant>
        <vt:i4>6619217</vt:i4>
      </vt:variant>
      <vt:variant>
        <vt:i4>3</vt:i4>
      </vt:variant>
      <vt:variant>
        <vt:i4>0</vt:i4>
      </vt:variant>
      <vt:variant>
        <vt:i4>5</vt:i4>
      </vt:variant>
      <vt:variant>
        <vt:lpwstr>mailto:tametm@hotmail.com</vt:lpwstr>
      </vt:variant>
      <vt:variant>
        <vt:lpwstr/>
      </vt:variant>
      <vt:variant>
        <vt:i4>8126539</vt:i4>
      </vt:variant>
      <vt:variant>
        <vt:i4>0</vt:i4>
      </vt:variant>
      <vt:variant>
        <vt:i4>0</vt:i4>
      </vt:variant>
      <vt:variant>
        <vt:i4>5</vt:i4>
      </vt:variant>
      <vt:variant>
        <vt:lpwstr>mailto:m.evangelista@boxhill.edu.au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Evangelista</dc:creator>
  <cp:keywords/>
  <dc:description/>
  <cp:lastModifiedBy>Melanie Evangelista</cp:lastModifiedBy>
  <cp:revision>2</cp:revision>
  <dcterms:created xsi:type="dcterms:W3CDTF">2026-04-15T08:33:00Z</dcterms:created>
  <dcterms:modified xsi:type="dcterms:W3CDTF">2026-04-15T08:33:00Z</dcterms:modified>
</cp:coreProperties>
</file>