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358A" w14:textId="77777777" w:rsidR="00667FAC" w:rsidRPr="005A051F" w:rsidRDefault="00667FAC" w:rsidP="00E51D3A">
      <w:pPr>
        <w:spacing w:after="0" w:line="360" w:lineRule="auto"/>
        <w:jc w:val="center"/>
        <w:rPr>
          <w:rFonts w:ascii="Times New Roman" w:hAnsi="Times New Roman" w:cs="Times New Roman"/>
          <w:b/>
          <w:bCs/>
          <w:sz w:val="24"/>
          <w:szCs w:val="24"/>
        </w:rPr>
      </w:pPr>
      <w:r w:rsidRPr="005A051F">
        <w:rPr>
          <w:rFonts w:ascii="Times New Roman" w:hAnsi="Times New Roman" w:cs="Times New Roman"/>
          <w:b/>
          <w:bCs/>
          <w:sz w:val="24"/>
          <w:szCs w:val="24"/>
        </w:rPr>
        <w:t>Welcoming as Formative Infrastructure: Student Life, Mental Health, and Student Trajectories in Higher Education</w:t>
      </w:r>
    </w:p>
    <w:p w14:paraId="11576892" w14:textId="697A1136" w:rsidR="00556ECA" w:rsidRPr="005A051F" w:rsidRDefault="00600F9E" w:rsidP="00E51D3A">
      <w:pPr>
        <w:spacing w:after="0" w:line="360" w:lineRule="auto"/>
        <w:jc w:val="center"/>
        <w:rPr>
          <w:rFonts w:ascii="Times New Roman" w:hAnsi="Times New Roman" w:cs="Times New Roman"/>
          <w:sz w:val="24"/>
          <w:szCs w:val="24"/>
        </w:rPr>
      </w:pPr>
      <w:r w:rsidRPr="005A051F">
        <w:rPr>
          <w:rFonts w:ascii="Times New Roman" w:hAnsi="Times New Roman" w:cs="Times New Roman"/>
          <w:sz w:val="24"/>
          <w:szCs w:val="24"/>
          <w:lang w:val="pt-BR"/>
        </w:rPr>
        <w:t xml:space="preserve">Ton, Renice Aparecida Pombani </w:t>
      </w:r>
      <w:r w:rsidR="00556ECA" w:rsidRPr="005A051F">
        <w:rPr>
          <w:rFonts w:ascii="Times New Roman" w:hAnsi="Times New Roman" w:cs="Times New Roman"/>
          <w:sz w:val="24"/>
          <w:szCs w:val="24"/>
          <w:lang w:val="pt-BR"/>
        </w:rPr>
        <w:t xml:space="preserve">¹; </w:t>
      </w:r>
      <w:r w:rsidRPr="005A051F">
        <w:rPr>
          <w:rFonts w:ascii="Times New Roman" w:hAnsi="Times New Roman" w:cs="Times New Roman"/>
          <w:sz w:val="24"/>
          <w:szCs w:val="24"/>
          <w:lang w:val="pt-BR"/>
        </w:rPr>
        <w:t>Sena</w:t>
      </w:r>
      <w:r w:rsidR="00556ECA" w:rsidRPr="005A051F">
        <w:rPr>
          <w:rFonts w:ascii="Times New Roman" w:hAnsi="Times New Roman" w:cs="Times New Roman"/>
          <w:sz w:val="24"/>
          <w:szCs w:val="24"/>
          <w:lang w:val="pt-BR"/>
        </w:rPr>
        <w:t xml:space="preserve">, </w:t>
      </w:r>
      <w:r w:rsidRPr="005A051F">
        <w:rPr>
          <w:rFonts w:ascii="Times New Roman" w:hAnsi="Times New Roman" w:cs="Times New Roman"/>
          <w:sz w:val="24"/>
          <w:szCs w:val="24"/>
          <w:lang w:val="pt-BR"/>
        </w:rPr>
        <w:t>Ana Cristina Monteiro de Barros</w:t>
      </w:r>
      <w:r w:rsidR="00556ECA" w:rsidRPr="005A051F">
        <w:rPr>
          <w:rFonts w:ascii="Times New Roman" w:hAnsi="Times New Roman" w:cs="Times New Roman"/>
          <w:sz w:val="24"/>
          <w:szCs w:val="24"/>
          <w:lang w:val="pt-BR"/>
        </w:rPr>
        <w:t>²</w:t>
      </w:r>
      <w:r w:rsidR="00556ECA" w:rsidRPr="005A051F">
        <w:rPr>
          <w:rFonts w:ascii="Times New Roman" w:hAnsi="Times New Roman" w:cs="Times New Roman"/>
          <w:sz w:val="24"/>
          <w:szCs w:val="24"/>
          <w:lang w:val="pt-BR"/>
        </w:rPr>
        <w:br/>
        <w:t xml:space="preserve">¹ Chief People Officer. </w:t>
      </w:r>
      <w:r w:rsidR="00556ECA" w:rsidRPr="005A051F">
        <w:rPr>
          <w:rFonts w:ascii="Times New Roman" w:hAnsi="Times New Roman" w:cs="Times New Roman"/>
          <w:sz w:val="24"/>
          <w:szCs w:val="24"/>
        </w:rPr>
        <w:fldChar w:fldCharType="begin"/>
      </w:r>
      <w:r w:rsidR="00556ECA" w:rsidRPr="005A051F">
        <w:rPr>
          <w:rFonts w:ascii="Times New Roman" w:hAnsi="Times New Roman" w:cs="Times New Roman"/>
          <w:sz w:val="24"/>
          <w:szCs w:val="24"/>
          <w:lang w:val="pt-BR"/>
        </w:rPr>
        <w:instrText>HYPERLINK "mailto:reniceap@insper.edu.br"</w:instrText>
      </w:r>
      <w:r w:rsidR="00556ECA" w:rsidRPr="005A051F">
        <w:rPr>
          <w:rFonts w:ascii="Times New Roman" w:hAnsi="Times New Roman" w:cs="Times New Roman"/>
          <w:sz w:val="24"/>
          <w:szCs w:val="24"/>
        </w:rPr>
      </w:r>
      <w:r w:rsidR="00556ECA" w:rsidRPr="005A051F">
        <w:rPr>
          <w:rFonts w:ascii="Times New Roman" w:hAnsi="Times New Roman" w:cs="Times New Roman"/>
          <w:sz w:val="24"/>
          <w:szCs w:val="24"/>
        </w:rPr>
        <w:fldChar w:fldCharType="separate"/>
      </w:r>
      <w:r w:rsidR="00556ECA" w:rsidRPr="005A051F">
        <w:rPr>
          <w:rStyle w:val="Hyperlink"/>
          <w:rFonts w:ascii="Times New Roman" w:hAnsi="Times New Roman" w:cs="Times New Roman"/>
          <w:sz w:val="24"/>
          <w:szCs w:val="24"/>
        </w:rPr>
        <w:t>reniceap@insper.edu.br</w:t>
      </w:r>
      <w:r w:rsidR="00556ECA" w:rsidRPr="005A051F">
        <w:rPr>
          <w:rFonts w:ascii="Times New Roman" w:hAnsi="Times New Roman" w:cs="Times New Roman"/>
          <w:sz w:val="24"/>
          <w:szCs w:val="24"/>
        </w:rPr>
        <w:fldChar w:fldCharType="end"/>
      </w:r>
      <w:r w:rsidR="00556ECA" w:rsidRPr="005A051F">
        <w:rPr>
          <w:rFonts w:ascii="Times New Roman" w:hAnsi="Times New Roman" w:cs="Times New Roman"/>
          <w:sz w:val="24"/>
          <w:szCs w:val="24"/>
        </w:rPr>
        <w:t xml:space="preserve">. </w:t>
      </w:r>
      <w:proofErr w:type="spellStart"/>
      <w:r w:rsidR="00556ECA" w:rsidRPr="005A051F">
        <w:rPr>
          <w:rFonts w:ascii="Times New Roman" w:hAnsi="Times New Roman" w:cs="Times New Roman"/>
          <w:sz w:val="24"/>
          <w:szCs w:val="24"/>
        </w:rPr>
        <w:t>Insper</w:t>
      </w:r>
      <w:proofErr w:type="spellEnd"/>
      <w:r w:rsidR="00556ECA" w:rsidRPr="005A051F">
        <w:rPr>
          <w:rFonts w:ascii="Times New Roman" w:hAnsi="Times New Roman" w:cs="Times New Roman"/>
          <w:sz w:val="24"/>
          <w:szCs w:val="24"/>
        </w:rPr>
        <w:t xml:space="preserve"> – Institute of Education and Research, Brazil</w:t>
      </w:r>
      <w:r w:rsidRPr="005A051F">
        <w:rPr>
          <w:rFonts w:ascii="Times New Roman" w:hAnsi="Times New Roman" w:cs="Times New Roman"/>
          <w:sz w:val="24"/>
          <w:szCs w:val="24"/>
        </w:rPr>
        <w:t xml:space="preserve">. </w:t>
      </w:r>
    </w:p>
    <w:p w14:paraId="610663B5" w14:textId="5C21D53F" w:rsidR="00CF004F" w:rsidRPr="005A051F" w:rsidRDefault="00000000" w:rsidP="00E51D3A">
      <w:pPr>
        <w:spacing w:after="0" w:line="360" w:lineRule="auto"/>
        <w:jc w:val="center"/>
        <w:rPr>
          <w:rFonts w:ascii="Times New Roman" w:hAnsi="Times New Roman" w:cs="Times New Roman"/>
          <w:sz w:val="24"/>
          <w:szCs w:val="24"/>
        </w:rPr>
      </w:pPr>
      <w:r w:rsidRPr="005A051F">
        <w:rPr>
          <w:rFonts w:ascii="Times New Roman" w:hAnsi="Times New Roman" w:cs="Times New Roman"/>
          <w:sz w:val="24"/>
          <w:szCs w:val="24"/>
        </w:rPr>
        <w:t>²</w:t>
      </w:r>
      <w:r w:rsidR="00556ECA" w:rsidRPr="005A051F">
        <w:rPr>
          <w:rFonts w:ascii="Times New Roman" w:hAnsi="Times New Roman" w:cs="Times New Roman"/>
          <w:sz w:val="24"/>
          <w:szCs w:val="24"/>
        </w:rPr>
        <w:t xml:space="preserve"> </w:t>
      </w:r>
      <w:r w:rsidR="00600F9E" w:rsidRPr="005A051F">
        <w:rPr>
          <w:rFonts w:ascii="Times New Roman" w:hAnsi="Times New Roman" w:cs="Times New Roman"/>
          <w:sz w:val="24"/>
          <w:szCs w:val="24"/>
        </w:rPr>
        <w:t>Head of Wellbeing, Accessibility, and Inclusion Office</w:t>
      </w:r>
      <w:r w:rsidR="00556ECA" w:rsidRPr="005A051F">
        <w:rPr>
          <w:rFonts w:ascii="Times New Roman" w:hAnsi="Times New Roman" w:cs="Times New Roman"/>
          <w:sz w:val="24"/>
          <w:szCs w:val="24"/>
        </w:rPr>
        <w:t>.</w:t>
      </w:r>
      <w:r w:rsidR="00DD22C0" w:rsidRPr="005A051F">
        <w:rPr>
          <w:rFonts w:ascii="Times New Roman" w:hAnsi="Times New Roman" w:cs="Times New Roman"/>
          <w:sz w:val="24"/>
          <w:szCs w:val="24"/>
        </w:rPr>
        <w:t xml:space="preserve"> </w:t>
      </w:r>
      <w:hyperlink r:id="rId6" w:history="1">
        <w:r w:rsidR="00DD22C0" w:rsidRPr="005A051F">
          <w:rPr>
            <w:rStyle w:val="Hyperlink"/>
            <w:rFonts w:ascii="Times New Roman" w:hAnsi="Times New Roman" w:cs="Times New Roman"/>
            <w:sz w:val="24"/>
            <w:szCs w:val="24"/>
          </w:rPr>
          <w:t>anacmbs1@insper.edu.br</w:t>
        </w:r>
      </w:hyperlink>
      <w:r w:rsidR="00DD22C0" w:rsidRPr="005A051F">
        <w:rPr>
          <w:rFonts w:ascii="Times New Roman" w:hAnsi="Times New Roman" w:cs="Times New Roman"/>
          <w:sz w:val="24"/>
          <w:szCs w:val="24"/>
        </w:rPr>
        <w:t>.</w:t>
      </w:r>
      <w:r w:rsidR="00556ECA" w:rsidRPr="005A051F">
        <w:rPr>
          <w:rFonts w:ascii="Times New Roman" w:hAnsi="Times New Roman" w:cs="Times New Roman"/>
          <w:sz w:val="24"/>
          <w:szCs w:val="24"/>
        </w:rPr>
        <w:t xml:space="preserve"> </w:t>
      </w:r>
      <w:proofErr w:type="spellStart"/>
      <w:r w:rsidR="00556ECA" w:rsidRPr="005A051F">
        <w:rPr>
          <w:rFonts w:ascii="Times New Roman" w:hAnsi="Times New Roman" w:cs="Times New Roman"/>
          <w:sz w:val="24"/>
          <w:szCs w:val="24"/>
        </w:rPr>
        <w:t>Insper</w:t>
      </w:r>
      <w:proofErr w:type="spellEnd"/>
      <w:r w:rsidR="00556ECA" w:rsidRPr="005A051F">
        <w:rPr>
          <w:rFonts w:ascii="Times New Roman" w:hAnsi="Times New Roman" w:cs="Times New Roman"/>
          <w:sz w:val="24"/>
          <w:szCs w:val="24"/>
        </w:rPr>
        <w:t xml:space="preserve"> – Institute of Education and Research, Brazil. </w:t>
      </w:r>
      <w:r w:rsidR="00FA7E04" w:rsidRPr="005A051F">
        <w:rPr>
          <w:rFonts w:ascii="Times New Roman" w:hAnsi="Times New Roman" w:cs="Times New Roman"/>
          <w:sz w:val="24"/>
          <w:szCs w:val="24"/>
        </w:rPr>
        <w:t>Presenter at the conference</w:t>
      </w:r>
    </w:p>
    <w:p w14:paraId="4C1FF2B8" w14:textId="77777777" w:rsidR="00556ECA" w:rsidRPr="005A051F" w:rsidRDefault="00556ECA" w:rsidP="00E51D3A">
      <w:pPr>
        <w:spacing w:after="0" w:line="360" w:lineRule="auto"/>
        <w:jc w:val="both"/>
        <w:rPr>
          <w:rFonts w:ascii="Times New Roman" w:hAnsi="Times New Roman" w:cs="Times New Roman"/>
          <w:b/>
          <w:sz w:val="24"/>
          <w:szCs w:val="24"/>
        </w:rPr>
      </w:pPr>
    </w:p>
    <w:p w14:paraId="4D2C09EB" w14:textId="1FCE65B1" w:rsidR="00CF004F" w:rsidRPr="005A051F" w:rsidRDefault="00000000" w:rsidP="00E51D3A">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Abstract</w:t>
      </w:r>
    </w:p>
    <w:p w14:paraId="253A452E" w14:textId="085C2AB0"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The intensification of psychological distress among higher education students has become a central challenge for institutions worldwide. Recent studies indicate increasing levels of anxiety, stress, and adaptation difficulties, significantly affecting students’ well-being, academic engagement, and future trajectories.</w:t>
      </w:r>
    </w:p>
    <w:p w14:paraId="160E759E" w14:textId="6D9F03A8"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In this context, traditional support models, predominantly based on individual clinical interventions, have proven insufficient to address the scale and complexity of students’ needs. The literature highlights the importance of more integrated institutional approaches, capable of combining prevention, mental health promotion, and socioemotional development throughout the academic journey.</w:t>
      </w:r>
    </w:p>
    <w:p w14:paraId="29FAD689" w14:textId="2D8BF767"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This study analyzes the role of welcoming practices as a formative infrastructure in higher education, moving beyond their traditional understanding as reactive support services. Grounded in social constructionism (Gergen, 2009; McNamee &amp; Hosking, 2012), the study conceptualizes well-being as a relational process, produced within institutional practices and interactions.</w:t>
      </w:r>
    </w:p>
    <w:p w14:paraId="37C33610" w14:textId="7B48A918"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A qualitative and interpretive approach was adopted, based on the analysis of institutional documents and the Welcoming model developed at </w:t>
      </w:r>
      <w:proofErr w:type="spellStart"/>
      <w:r w:rsidRPr="005A051F">
        <w:rPr>
          <w:rFonts w:ascii="Times New Roman" w:hAnsi="Times New Roman" w:cs="Times New Roman"/>
          <w:sz w:val="24"/>
          <w:szCs w:val="24"/>
        </w:rPr>
        <w:t>Insper</w:t>
      </w:r>
      <w:proofErr w:type="spellEnd"/>
      <w:r w:rsidRPr="005A051F">
        <w:rPr>
          <w:rFonts w:ascii="Times New Roman" w:hAnsi="Times New Roman" w:cs="Times New Roman"/>
          <w:sz w:val="24"/>
          <w:szCs w:val="24"/>
        </w:rPr>
        <w:t xml:space="preserve"> (Brazil), within the Student Life area. Institutional data, including socioemotional competencies mapping, were also considered to support the analysis.</w:t>
      </w:r>
    </w:p>
    <w:p w14:paraId="56FDE405" w14:textId="0457E11F"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Findings suggest that integrated and longitudinal welcoming practices enhance early identification of student needs, strengthen belonging, and support the construction of more sustainable academic and professional trajectories. By influencing adaptation, meaning-making, and relational dynamics, such practices directly impact how students develop their </w:t>
      </w:r>
      <w:r w:rsidR="0016333A" w:rsidRPr="005A051F">
        <w:rPr>
          <w:rFonts w:ascii="Times New Roman" w:hAnsi="Times New Roman" w:cs="Times New Roman"/>
          <w:sz w:val="24"/>
          <w:szCs w:val="24"/>
        </w:rPr>
        <w:t xml:space="preserve">academic and </w:t>
      </w:r>
      <w:r w:rsidR="003850F4" w:rsidRPr="005A051F">
        <w:rPr>
          <w:rFonts w:ascii="Times New Roman" w:hAnsi="Times New Roman" w:cs="Times New Roman"/>
          <w:sz w:val="24"/>
          <w:szCs w:val="24"/>
        </w:rPr>
        <w:t>individual trajectory.</w:t>
      </w:r>
    </w:p>
    <w:p w14:paraId="11EE5590" w14:textId="77777777" w:rsidR="002B1CD1" w:rsidRPr="005A051F" w:rsidRDefault="002B1CD1" w:rsidP="00600F9E">
      <w:pPr>
        <w:spacing w:after="0" w:line="360" w:lineRule="auto"/>
        <w:jc w:val="both"/>
        <w:rPr>
          <w:rFonts w:ascii="Times New Roman" w:hAnsi="Times New Roman" w:cs="Times New Roman"/>
          <w:bCs/>
          <w:sz w:val="24"/>
          <w:szCs w:val="24"/>
        </w:rPr>
      </w:pPr>
      <w:r w:rsidRPr="005A051F">
        <w:rPr>
          <w:rFonts w:ascii="Times New Roman" w:hAnsi="Times New Roman" w:cs="Times New Roman"/>
          <w:sz w:val="24"/>
          <w:szCs w:val="24"/>
        </w:rPr>
        <w:lastRenderedPageBreak/>
        <w:t>This study contributes to the field of Career Guidance and Counselling by proposing a shift from individual-centered interventions toward relational, contextual, and institutionally embedded approaches to student development.</w:t>
      </w:r>
      <w:r w:rsidRPr="005A051F">
        <w:rPr>
          <w:rFonts w:ascii="Times New Roman" w:hAnsi="Times New Roman" w:cs="Times New Roman"/>
          <w:bCs/>
          <w:sz w:val="24"/>
          <w:szCs w:val="24"/>
        </w:rPr>
        <w:t xml:space="preserve"> </w:t>
      </w:r>
    </w:p>
    <w:p w14:paraId="1E05FEAA" w14:textId="6E6E20D4" w:rsidR="00BE101B" w:rsidRPr="005A051F" w:rsidRDefault="00BE101B" w:rsidP="00600F9E">
      <w:pPr>
        <w:spacing w:after="0" w:line="360" w:lineRule="auto"/>
        <w:jc w:val="both"/>
        <w:rPr>
          <w:rFonts w:ascii="Times New Roman" w:hAnsi="Times New Roman" w:cs="Times New Roman"/>
          <w:b/>
          <w:sz w:val="24"/>
          <w:szCs w:val="24"/>
        </w:rPr>
      </w:pPr>
      <w:r w:rsidRPr="005A051F">
        <w:rPr>
          <w:rFonts w:ascii="Times New Roman" w:hAnsi="Times New Roman" w:cs="Times New Roman"/>
          <w:bCs/>
          <w:sz w:val="24"/>
          <w:szCs w:val="24"/>
        </w:rPr>
        <w:t>Keywords:</w:t>
      </w:r>
      <w:r w:rsidRPr="005A051F">
        <w:rPr>
          <w:rFonts w:ascii="Times New Roman" w:hAnsi="Times New Roman" w:cs="Times New Roman"/>
          <w:b/>
          <w:sz w:val="24"/>
          <w:szCs w:val="24"/>
        </w:rPr>
        <w:t xml:space="preserve"> </w:t>
      </w:r>
      <w:r w:rsidRPr="005A051F">
        <w:rPr>
          <w:rFonts w:ascii="Times New Roman" w:hAnsi="Times New Roman" w:cs="Times New Roman"/>
          <w:i/>
          <w:iCs/>
          <w:sz w:val="24"/>
          <w:szCs w:val="24"/>
        </w:rPr>
        <w:t>student support; higher education; well-being; belonging; social constructionism</w:t>
      </w:r>
    </w:p>
    <w:p w14:paraId="02CFC768" w14:textId="77777777" w:rsidR="00066335" w:rsidRPr="005A051F" w:rsidRDefault="00066335" w:rsidP="00600F9E">
      <w:pPr>
        <w:spacing w:after="0" w:line="360" w:lineRule="auto"/>
        <w:jc w:val="both"/>
        <w:rPr>
          <w:rFonts w:ascii="Times New Roman" w:hAnsi="Times New Roman" w:cs="Times New Roman"/>
          <w:b/>
          <w:sz w:val="24"/>
          <w:szCs w:val="24"/>
        </w:rPr>
      </w:pPr>
    </w:p>
    <w:p w14:paraId="7409931A" w14:textId="57E18C4A" w:rsidR="00CF004F" w:rsidRPr="005A051F" w:rsidRDefault="00000000" w:rsidP="00600F9E">
      <w:pPr>
        <w:spacing w:after="0" w:line="360" w:lineRule="auto"/>
        <w:jc w:val="both"/>
        <w:rPr>
          <w:rFonts w:ascii="Times New Roman" w:hAnsi="Times New Roman" w:cs="Times New Roman"/>
          <w:b/>
          <w:sz w:val="24"/>
          <w:szCs w:val="24"/>
        </w:rPr>
      </w:pPr>
      <w:r w:rsidRPr="005A051F">
        <w:rPr>
          <w:rFonts w:ascii="Times New Roman" w:hAnsi="Times New Roman" w:cs="Times New Roman"/>
          <w:b/>
          <w:sz w:val="24"/>
          <w:szCs w:val="24"/>
        </w:rPr>
        <w:t>Introduction</w:t>
      </w:r>
    </w:p>
    <w:p w14:paraId="23DC7C36" w14:textId="28CAD88A" w:rsidR="00526CC7" w:rsidRPr="005A051F" w:rsidRDefault="00526CC7" w:rsidP="00526CC7">
      <w:pPr>
        <w:spacing w:after="0" w:line="360" w:lineRule="auto"/>
        <w:jc w:val="both"/>
        <w:rPr>
          <w:rFonts w:ascii="Times New Roman" w:hAnsi="Times New Roman" w:cs="Times New Roman"/>
          <w:bCs/>
          <w:sz w:val="24"/>
          <w:szCs w:val="24"/>
          <w:lang w:val="en-BR"/>
        </w:rPr>
      </w:pPr>
      <w:r w:rsidRPr="005A051F">
        <w:rPr>
          <w:rFonts w:ascii="Times New Roman" w:hAnsi="Times New Roman" w:cs="Times New Roman"/>
          <w:bCs/>
          <w:sz w:val="24"/>
          <w:szCs w:val="24"/>
          <w:lang w:val="en-BR"/>
        </w:rPr>
        <w:t>Mental health among university students has become one of the most pressing contemporary challenges for higher education institutions. Globally, there has been a consistent increase in symptoms such as anxiety, stress, and depression among young people, particularly in the post-pandemic context (Organisation for Economic Co-operation and Development [OECD], 2023; World Health Organization [WHO], 2023). This scenario impacts not only students’ well-being but also their academic engagement and the construction of their future trajectories.</w:t>
      </w:r>
    </w:p>
    <w:p w14:paraId="7EBF3EFA" w14:textId="3C62476E" w:rsidR="00526CC7" w:rsidRPr="005A051F" w:rsidRDefault="00526CC7" w:rsidP="00526CC7">
      <w:pPr>
        <w:spacing w:after="0" w:line="360" w:lineRule="auto"/>
        <w:jc w:val="both"/>
        <w:rPr>
          <w:rFonts w:ascii="Times New Roman" w:hAnsi="Times New Roman" w:cs="Times New Roman"/>
          <w:bCs/>
          <w:sz w:val="24"/>
          <w:szCs w:val="24"/>
          <w:lang w:val="en-BR"/>
        </w:rPr>
      </w:pPr>
      <w:r w:rsidRPr="005A051F">
        <w:rPr>
          <w:rFonts w:ascii="Times New Roman" w:hAnsi="Times New Roman" w:cs="Times New Roman"/>
          <w:bCs/>
          <w:sz w:val="24"/>
          <w:szCs w:val="24"/>
          <w:lang w:val="en-BR"/>
        </w:rPr>
        <w:t>Within the university context, student distress is associated with factors such as academic overload, adaptation difficulties, and performance pressure (Gonçalves, 2024). In addition, the academic environment directly influences dimensions such as well-being, sense of belonging, and satisfaction with the university experience (Sousa et al., 2025), highlighting its role in shaping the conditions for student development.</w:t>
      </w:r>
    </w:p>
    <w:p w14:paraId="71763B4A" w14:textId="0367B39D" w:rsidR="00526CC7" w:rsidRPr="005A051F" w:rsidRDefault="00526CC7" w:rsidP="00526CC7">
      <w:pPr>
        <w:spacing w:after="0" w:line="360" w:lineRule="auto"/>
        <w:jc w:val="both"/>
        <w:rPr>
          <w:rFonts w:ascii="Times New Roman" w:hAnsi="Times New Roman" w:cs="Times New Roman"/>
          <w:bCs/>
          <w:sz w:val="24"/>
          <w:szCs w:val="24"/>
          <w:lang w:val="en-BR"/>
        </w:rPr>
      </w:pPr>
      <w:r w:rsidRPr="005A051F">
        <w:rPr>
          <w:rFonts w:ascii="Times New Roman" w:hAnsi="Times New Roman" w:cs="Times New Roman"/>
          <w:bCs/>
          <w:sz w:val="24"/>
          <w:szCs w:val="24"/>
          <w:lang w:val="en-BR"/>
        </w:rPr>
        <w:t>Despite the growing demand for support, institutional responses remain largely centered on individual clinical interventions, which have proven insufficient to address the scale and complexity of the phenomenon (Brownson et al., 2016). In this regard, the literature points to the need for broader approaches capable of integrating mental health promotion, prevention, and student development throughout the academic journey</w:t>
      </w:r>
      <w:r w:rsidR="009F7901" w:rsidRPr="005A051F">
        <w:rPr>
          <w:rFonts w:ascii="Times New Roman" w:hAnsi="Times New Roman" w:cs="Times New Roman"/>
          <w:bCs/>
          <w:sz w:val="24"/>
          <w:szCs w:val="24"/>
          <w:lang w:val="en-BR"/>
        </w:rPr>
        <w:t>.</w:t>
      </w:r>
    </w:p>
    <w:p w14:paraId="66FD556F" w14:textId="6A168E81" w:rsidR="00526CC7" w:rsidRPr="005A051F" w:rsidRDefault="00526CC7" w:rsidP="00526CC7">
      <w:pPr>
        <w:spacing w:after="0" w:line="360" w:lineRule="auto"/>
        <w:jc w:val="both"/>
        <w:rPr>
          <w:rFonts w:ascii="Times New Roman" w:hAnsi="Times New Roman" w:cs="Times New Roman"/>
          <w:bCs/>
          <w:sz w:val="24"/>
          <w:szCs w:val="24"/>
          <w:lang w:val="en-BR"/>
        </w:rPr>
      </w:pPr>
      <w:r w:rsidRPr="005A051F">
        <w:rPr>
          <w:rFonts w:ascii="Times New Roman" w:hAnsi="Times New Roman" w:cs="Times New Roman"/>
          <w:bCs/>
          <w:sz w:val="24"/>
          <w:szCs w:val="24"/>
          <w:lang w:val="en-BR"/>
        </w:rPr>
        <w:t>In this context, the present study proposes to understand welcoming practices as a formative infrastructure integrated into the educational experience. Grounded in social constructionism (Gergen, 2009; McNamee &amp; Hosking, 2012), the study assumes that well-being is a relational construction, produced within institutional practices.</w:t>
      </w:r>
    </w:p>
    <w:p w14:paraId="555803BF" w14:textId="1FC37777" w:rsidR="00913EE2" w:rsidRPr="005A051F" w:rsidRDefault="00526CC7" w:rsidP="00526CC7">
      <w:pPr>
        <w:spacing w:after="0" w:line="360" w:lineRule="auto"/>
        <w:jc w:val="both"/>
        <w:rPr>
          <w:rFonts w:ascii="Times New Roman" w:hAnsi="Times New Roman" w:cs="Times New Roman"/>
          <w:b/>
          <w:sz w:val="24"/>
          <w:szCs w:val="24"/>
        </w:rPr>
      </w:pPr>
      <w:r w:rsidRPr="005A051F">
        <w:rPr>
          <w:rFonts w:ascii="Times New Roman" w:hAnsi="Times New Roman" w:cs="Times New Roman"/>
          <w:bCs/>
          <w:sz w:val="24"/>
          <w:szCs w:val="24"/>
          <w:lang w:val="en-BR"/>
        </w:rPr>
        <w:t>From this perspective, the article analyzes the Welcoming model developed at Insper, exploring how integrated institutional practices contribute to the construction of more sustainable academic experiences and to the development of more meaningful academic and professional trajectories.</w:t>
      </w:r>
    </w:p>
    <w:p w14:paraId="21DEB790" w14:textId="77777777" w:rsidR="00526CC7" w:rsidRPr="005A051F" w:rsidRDefault="00526CC7" w:rsidP="00E51D3A">
      <w:pPr>
        <w:spacing w:after="0" w:line="360" w:lineRule="auto"/>
        <w:jc w:val="both"/>
        <w:rPr>
          <w:rFonts w:ascii="Times New Roman" w:hAnsi="Times New Roman" w:cs="Times New Roman"/>
          <w:b/>
          <w:sz w:val="24"/>
          <w:szCs w:val="24"/>
        </w:rPr>
      </w:pPr>
    </w:p>
    <w:p w14:paraId="4A0DA82D" w14:textId="7E65C90B" w:rsidR="00CF004F" w:rsidRPr="005A051F" w:rsidRDefault="00000000" w:rsidP="00E51D3A">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Objectives</w:t>
      </w:r>
    </w:p>
    <w:p w14:paraId="60B60881" w14:textId="601D710E" w:rsidR="00F5280D" w:rsidRPr="005A051F" w:rsidRDefault="00F5280D" w:rsidP="00F5280D">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lastRenderedPageBreak/>
        <w:t xml:space="preserve">The general objective of this study is to analyze the role of welcoming practices as a formative infrastructure in higher education, examining how integrated institutional practices contribute to students’ well-being, sense of belonging, and the development of their academic and </w:t>
      </w:r>
      <w:r w:rsidR="0016333A" w:rsidRPr="005A051F">
        <w:rPr>
          <w:rFonts w:ascii="Times New Roman" w:hAnsi="Times New Roman" w:cs="Times New Roman"/>
          <w:sz w:val="24"/>
          <w:szCs w:val="24"/>
        </w:rPr>
        <w:t xml:space="preserve">career </w:t>
      </w:r>
      <w:r w:rsidR="0016333A" w:rsidRPr="005A051F">
        <w:rPr>
          <w:rFonts w:ascii="Times New Roman" w:hAnsi="Times New Roman" w:cs="Times New Roman"/>
          <w:sz w:val="24"/>
          <w:szCs w:val="24"/>
          <w:lang w:val="en-GB"/>
        </w:rPr>
        <w:t>path</w:t>
      </w:r>
      <w:r w:rsidRPr="005A051F">
        <w:rPr>
          <w:rFonts w:ascii="Times New Roman" w:hAnsi="Times New Roman" w:cs="Times New Roman"/>
          <w:sz w:val="24"/>
          <w:szCs w:val="24"/>
        </w:rPr>
        <w:t>.</w:t>
      </w:r>
    </w:p>
    <w:p w14:paraId="085B3F3D" w14:textId="77777777" w:rsidR="00F5280D" w:rsidRPr="005A051F" w:rsidRDefault="00F5280D" w:rsidP="00F5280D">
      <w:pPr>
        <w:spacing w:after="0" w:line="360" w:lineRule="auto"/>
        <w:jc w:val="both"/>
        <w:rPr>
          <w:rFonts w:ascii="Times New Roman" w:hAnsi="Times New Roman" w:cs="Times New Roman"/>
          <w:b/>
          <w:bCs/>
          <w:sz w:val="24"/>
          <w:szCs w:val="24"/>
        </w:rPr>
      </w:pPr>
      <w:r w:rsidRPr="005A051F">
        <w:rPr>
          <w:rFonts w:ascii="Times New Roman" w:hAnsi="Times New Roman" w:cs="Times New Roman"/>
          <w:b/>
          <w:bCs/>
          <w:sz w:val="24"/>
          <w:szCs w:val="24"/>
        </w:rPr>
        <w:t>The specific objectives are:</w:t>
      </w:r>
    </w:p>
    <w:p w14:paraId="2F95B3E5" w14:textId="7408B52F" w:rsidR="00F5280D" w:rsidRPr="005A051F" w:rsidRDefault="00066335" w:rsidP="00066335">
      <w:pPr>
        <w:pStyle w:val="ListParagraph"/>
        <w:numPr>
          <w:ilvl w:val="0"/>
          <w:numId w:val="12"/>
        </w:num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w:t>
      </w:r>
      <w:r w:rsidR="00F5280D" w:rsidRPr="005A051F">
        <w:rPr>
          <w:rFonts w:ascii="Times New Roman" w:hAnsi="Times New Roman" w:cs="Times New Roman"/>
          <w:sz w:val="24"/>
          <w:szCs w:val="24"/>
        </w:rPr>
        <w:t xml:space="preserve">o understand welcoming as a relational and longitudinal process embedded in the educational </w:t>
      </w:r>
      <w:r w:rsidRPr="005A051F">
        <w:rPr>
          <w:rFonts w:ascii="Times New Roman" w:hAnsi="Times New Roman" w:cs="Times New Roman"/>
          <w:sz w:val="24"/>
          <w:szCs w:val="24"/>
        </w:rPr>
        <w:t>experience.</w:t>
      </w:r>
    </w:p>
    <w:p w14:paraId="1D231C87" w14:textId="06DBA734" w:rsidR="00F5280D" w:rsidRPr="005A051F" w:rsidRDefault="00066335" w:rsidP="00066335">
      <w:pPr>
        <w:pStyle w:val="ListParagraph"/>
        <w:numPr>
          <w:ilvl w:val="0"/>
          <w:numId w:val="12"/>
        </w:num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w:t>
      </w:r>
      <w:r w:rsidR="00F5280D" w:rsidRPr="005A051F">
        <w:rPr>
          <w:rFonts w:ascii="Times New Roman" w:hAnsi="Times New Roman" w:cs="Times New Roman"/>
          <w:sz w:val="24"/>
          <w:szCs w:val="24"/>
        </w:rPr>
        <w:t xml:space="preserve">o analyze how integrated welcoming practices support early identification of student needs and contribute to well-being and </w:t>
      </w:r>
      <w:r w:rsidRPr="005A051F">
        <w:rPr>
          <w:rFonts w:ascii="Times New Roman" w:hAnsi="Times New Roman" w:cs="Times New Roman"/>
          <w:sz w:val="24"/>
          <w:szCs w:val="24"/>
        </w:rPr>
        <w:t>belonging.</w:t>
      </w:r>
    </w:p>
    <w:p w14:paraId="670A33B1" w14:textId="22881039" w:rsidR="00F5280D" w:rsidRPr="005A051F" w:rsidRDefault="00066335" w:rsidP="00066335">
      <w:pPr>
        <w:pStyle w:val="ListParagraph"/>
        <w:numPr>
          <w:ilvl w:val="0"/>
          <w:numId w:val="12"/>
        </w:num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w:t>
      </w:r>
      <w:r w:rsidR="00F5280D" w:rsidRPr="005A051F">
        <w:rPr>
          <w:rFonts w:ascii="Times New Roman" w:hAnsi="Times New Roman" w:cs="Times New Roman"/>
          <w:sz w:val="24"/>
          <w:szCs w:val="24"/>
        </w:rPr>
        <w:t>o examine how such practices influence adaptation, meaning</w:t>
      </w:r>
      <w:r w:rsidR="00E009F7" w:rsidRPr="005A051F">
        <w:rPr>
          <w:rFonts w:ascii="Times New Roman" w:hAnsi="Times New Roman" w:cs="Times New Roman"/>
          <w:sz w:val="24"/>
          <w:szCs w:val="24"/>
        </w:rPr>
        <w:t>-</w:t>
      </w:r>
      <w:r w:rsidR="00F5280D" w:rsidRPr="005A051F">
        <w:rPr>
          <w:rFonts w:ascii="Times New Roman" w:hAnsi="Times New Roman" w:cs="Times New Roman"/>
          <w:sz w:val="24"/>
          <w:szCs w:val="24"/>
        </w:rPr>
        <w:t xml:space="preserve">making, and the construction of academic and </w:t>
      </w:r>
      <w:r w:rsidR="00246A4D" w:rsidRPr="005A051F">
        <w:rPr>
          <w:rFonts w:ascii="Times New Roman" w:hAnsi="Times New Roman" w:cs="Times New Roman"/>
          <w:sz w:val="24"/>
          <w:szCs w:val="24"/>
        </w:rPr>
        <w:t xml:space="preserve">professional </w:t>
      </w:r>
      <w:r w:rsidRPr="005A051F">
        <w:rPr>
          <w:rFonts w:ascii="Times New Roman" w:hAnsi="Times New Roman" w:cs="Times New Roman"/>
          <w:sz w:val="24"/>
          <w:szCs w:val="24"/>
        </w:rPr>
        <w:t>trajectories.</w:t>
      </w:r>
    </w:p>
    <w:p w14:paraId="12D62C21" w14:textId="1D945FCB" w:rsidR="0029617B" w:rsidRPr="005A051F" w:rsidRDefault="00066335" w:rsidP="00066335">
      <w:pPr>
        <w:pStyle w:val="ListParagraph"/>
        <w:numPr>
          <w:ilvl w:val="0"/>
          <w:numId w:val="12"/>
        </w:num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w:t>
      </w:r>
      <w:r w:rsidR="00F5280D" w:rsidRPr="005A051F">
        <w:rPr>
          <w:rFonts w:ascii="Times New Roman" w:hAnsi="Times New Roman" w:cs="Times New Roman"/>
          <w:sz w:val="24"/>
          <w:szCs w:val="24"/>
        </w:rPr>
        <w:t xml:space="preserve">o explore the implications of this model for the field of </w:t>
      </w:r>
      <w:r w:rsidR="003850F4" w:rsidRPr="005A051F">
        <w:rPr>
          <w:rFonts w:ascii="Times New Roman" w:hAnsi="Times New Roman" w:cs="Times New Roman"/>
          <w:sz w:val="24"/>
          <w:szCs w:val="24"/>
        </w:rPr>
        <w:t>Career Guidance</w:t>
      </w:r>
      <w:r w:rsidR="00F5280D" w:rsidRPr="005A051F">
        <w:rPr>
          <w:rFonts w:ascii="Times New Roman" w:hAnsi="Times New Roman" w:cs="Times New Roman"/>
          <w:sz w:val="24"/>
          <w:szCs w:val="24"/>
        </w:rPr>
        <w:t>, particularly in relation to more relational, contextual, and institutionally embedded approaches.</w:t>
      </w:r>
    </w:p>
    <w:p w14:paraId="29DFEC54" w14:textId="77777777" w:rsidR="00F5280D" w:rsidRPr="005A051F" w:rsidRDefault="00F5280D" w:rsidP="00F5280D">
      <w:pPr>
        <w:spacing w:after="0" w:line="360" w:lineRule="auto"/>
        <w:jc w:val="both"/>
        <w:rPr>
          <w:rFonts w:ascii="Times New Roman" w:hAnsi="Times New Roman" w:cs="Times New Roman"/>
          <w:b/>
          <w:sz w:val="24"/>
          <w:szCs w:val="24"/>
          <w:lang w:val="en-BR"/>
        </w:rPr>
      </w:pPr>
    </w:p>
    <w:p w14:paraId="6AC28BC6" w14:textId="32EB9594" w:rsidR="00CF004F" w:rsidRPr="005A051F" w:rsidRDefault="00000000" w:rsidP="00E51D3A">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Theoretical Basis</w:t>
      </w:r>
    </w:p>
    <w:p w14:paraId="57E1358A" w14:textId="642EF3DF"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Understanding welcoming practices as a formative infrastructure in higher education requires shifting from an individual perspective to a relational and contextual approach to human development. Social constructionism provides a consistent theoretical foundation for this shift by proposing that meanings, identities, and experiences are constructed through social interactions and within specific contexts (Gergen, 2009; McNamee &amp; Hosking, 2012).</w:t>
      </w:r>
    </w:p>
    <w:p w14:paraId="3EF64EC9" w14:textId="39AAB001"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From this perspective, well-being cannot be understood as an exclusively intrapsychic attribute, but rather as a relational process, produced through institutional practices and interactions that shape the academic experience. This implies recognizing that higher education institutions do not merely respond to student distress but also participate in the conditions that produce and transform it.</w:t>
      </w:r>
    </w:p>
    <w:p w14:paraId="52BE692A" w14:textId="1BBCEBB1"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The literature on mental health in higher education reinforces this view by showing that student distress is associated with factors such as academic overload, adaptation difficulties, and performance pressure (Gonçalves, 2024), while the university environment directly influences well-being, sense of belonging, and the quality of the academic experience (Sousa et al., 2025).</w:t>
      </w:r>
    </w:p>
    <w:p w14:paraId="2A2C76E5" w14:textId="4047C0D1"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In addition, students demand not only support in crisis situations, but also continuous support in the development of socioemotional competencies and in the construction of life projects, </w:t>
      </w:r>
      <w:r w:rsidRPr="005A051F">
        <w:rPr>
          <w:rFonts w:ascii="Times New Roman" w:hAnsi="Times New Roman" w:cs="Times New Roman"/>
          <w:sz w:val="24"/>
          <w:szCs w:val="24"/>
        </w:rPr>
        <w:lastRenderedPageBreak/>
        <w:t>highlighting the limitations of approaches centered exclusively on individual interventions (Reis, 2024).</w:t>
      </w:r>
    </w:p>
    <w:p w14:paraId="724C2F99" w14:textId="156B86EC"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In this context, student development can be understood as an integrated process in which emotional, cognitive, and relational dimensions are interconnected throughout the academic journey. The development of a sense of belonging emerges as a central element for engagement, well-being, and student retention.</w:t>
      </w:r>
    </w:p>
    <w:p w14:paraId="57718D38" w14:textId="4DB78B65"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In this regard, well-being and quality of life are dynamically shaped by the academic environment, which plays a central role in enabling or constraining students’ development.</w:t>
      </w:r>
    </w:p>
    <w:p w14:paraId="4820A4AE" w14:textId="23AEAE87" w:rsidR="005D0311" w:rsidRPr="005A051F" w:rsidRDefault="005D0311" w:rsidP="005D0311">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This perspective aligns with the field of </w:t>
      </w:r>
      <w:r w:rsidR="003850F4" w:rsidRPr="005A051F">
        <w:rPr>
          <w:rFonts w:ascii="Times New Roman" w:hAnsi="Times New Roman" w:cs="Times New Roman"/>
          <w:sz w:val="24"/>
          <w:szCs w:val="24"/>
        </w:rPr>
        <w:t xml:space="preserve">Career Guidance </w:t>
      </w:r>
      <w:r w:rsidRPr="005A051F">
        <w:rPr>
          <w:rFonts w:ascii="Times New Roman" w:hAnsi="Times New Roman" w:cs="Times New Roman"/>
          <w:sz w:val="24"/>
          <w:szCs w:val="24"/>
        </w:rPr>
        <w:t>and development, which has increasingly moved beyond occupational choice to encompass processes of meaning-making, identity construction, and trajectory development, as emphasized in contemporary career construction approaches (Savickas, 2009).</w:t>
      </w:r>
    </w:p>
    <w:p w14:paraId="62E3A564" w14:textId="275A76B6" w:rsidR="00F5280D" w:rsidRPr="005A051F" w:rsidRDefault="005D0311" w:rsidP="005D0311">
      <w:pPr>
        <w:spacing w:after="0" w:line="360" w:lineRule="auto"/>
        <w:jc w:val="both"/>
        <w:rPr>
          <w:rFonts w:ascii="Times New Roman" w:hAnsi="Times New Roman" w:cs="Times New Roman"/>
          <w:b/>
          <w:sz w:val="24"/>
          <w:szCs w:val="24"/>
          <w:lang w:val="en-BR"/>
        </w:rPr>
      </w:pPr>
      <w:r w:rsidRPr="005A051F">
        <w:rPr>
          <w:rFonts w:ascii="Times New Roman" w:hAnsi="Times New Roman" w:cs="Times New Roman"/>
          <w:sz w:val="24"/>
          <w:szCs w:val="24"/>
        </w:rPr>
        <w:t>From this perspective, welcoming can be understood as an institutional practice operating at the intersection of well-being, academic experience, and trajectory development. By fostering conditions for listening, adaptation, and ongoing support, welcoming contributes to the creation of more responsive environments and to the integrated development of students’ academic and professional pathways.</w:t>
      </w:r>
    </w:p>
    <w:p w14:paraId="60308413" w14:textId="77777777" w:rsidR="005D0311" w:rsidRPr="005A051F" w:rsidRDefault="005D0311" w:rsidP="00E51D3A">
      <w:pPr>
        <w:spacing w:after="0" w:line="360" w:lineRule="auto"/>
        <w:jc w:val="both"/>
        <w:rPr>
          <w:rFonts w:ascii="Times New Roman" w:hAnsi="Times New Roman" w:cs="Times New Roman"/>
          <w:b/>
          <w:sz w:val="24"/>
          <w:szCs w:val="24"/>
        </w:rPr>
      </w:pPr>
    </w:p>
    <w:p w14:paraId="72C9DEF3" w14:textId="4DB2D209" w:rsidR="00CF004F" w:rsidRPr="005A051F" w:rsidRDefault="00000000" w:rsidP="00E51D3A">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Methodology</w:t>
      </w:r>
    </w:p>
    <w:p w14:paraId="2A86D286" w14:textId="3C95EA72"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This study is characterized as </w:t>
      </w:r>
      <w:r w:rsidR="00E009F7" w:rsidRPr="005A051F">
        <w:rPr>
          <w:rFonts w:ascii="Times New Roman" w:hAnsi="Times New Roman" w:cs="Times New Roman"/>
          <w:sz w:val="24"/>
          <w:szCs w:val="24"/>
        </w:rPr>
        <w:t>qualitative research</w:t>
      </w:r>
      <w:r w:rsidRPr="005A051F">
        <w:rPr>
          <w:rFonts w:ascii="Times New Roman" w:hAnsi="Times New Roman" w:cs="Times New Roman"/>
          <w:sz w:val="24"/>
          <w:szCs w:val="24"/>
        </w:rPr>
        <w:t xml:space="preserve"> with a descriptive and interpretive approach, based on the analysis of institutional documents and </w:t>
      </w:r>
      <w:r w:rsidR="00E009F7" w:rsidRPr="005A051F">
        <w:rPr>
          <w:rFonts w:ascii="Times New Roman" w:hAnsi="Times New Roman" w:cs="Times New Roman"/>
          <w:sz w:val="24"/>
          <w:szCs w:val="24"/>
        </w:rPr>
        <w:t>their</w:t>
      </w:r>
      <w:r w:rsidRPr="005A051F">
        <w:rPr>
          <w:rFonts w:ascii="Times New Roman" w:hAnsi="Times New Roman" w:cs="Times New Roman"/>
          <w:sz w:val="24"/>
          <w:szCs w:val="24"/>
        </w:rPr>
        <w:t xml:space="preserve"> articulation with the scientific literature on mental health in higher education.</w:t>
      </w:r>
    </w:p>
    <w:p w14:paraId="7022C818" w14:textId="3DA98031"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 xml:space="preserve">The empirical field consists of the Welcoming model developed at </w:t>
      </w:r>
      <w:proofErr w:type="spellStart"/>
      <w:r w:rsidRPr="005A051F">
        <w:rPr>
          <w:rFonts w:ascii="Times New Roman" w:hAnsi="Times New Roman" w:cs="Times New Roman"/>
          <w:sz w:val="24"/>
          <w:szCs w:val="24"/>
        </w:rPr>
        <w:t>Insper</w:t>
      </w:r>
      <w:proofErr w:type="spellEnd"/>
      <w:r w:rsidRPr="005A051F">
        <w:rPr>
          <w:rFonts w:ascii="Times New Roman" w:hAnsi="Times New Roman" w:cs="Times New Roman"/>
          <w:sz w:val="24"/>
          <w:szCs w:val="24"/>
        </w:rPr>
        <w:t>, within the Student Life area. Institutional reports and descriptive materials were analyzed, including evidence of practices implemented throughout the student journey, as well as data related to the functioning and scope of the model.</w:t>
      </w:r>
    </w:p>
    <w:p w14:paraId="5773B2D8" w14:textId="12E0304C" w:rsidR="00526CC7" w:rsidRPr="005A051F" w:rsidRDefault="00526CC7" w:rsidP="00526CC7">
      <w:pPr>
        <w:spacing w:after="0" w:line="360" w:lineRule="auto"/>
        <w:jc w:val="both"/>
        <w:rPr>
          <w:rFonts w:ascii="Times New Roman" w:hAnsi="Times New Roman" w:cs="Times New Roman"/>
          <w:sz w:val="24"/>
          <w:szCs w:val="24"/>
        </w:rPr>
      </w:pPr>
      <w:r w:rsidRPr="005A051F">
        <w:rPr>
          <w:rFonts w:ascii="Times New Roman" w:hAnsi="Times New Roman" w:cs="Times New Roman"/>
          <w:sz w:val="24"/>
          <w:szCs w:val="24"/>
        </w:rPr>
        <w:t>Additionally, institutional data on students’ socioemotional competencies were considered to support the analysis, allowing for a more comprehensive understanding of the student profile and its associated challenges.</w:t>
      </w:r>
    </w:p>
    <w:p w14:paraId="5EA7A630" w14:textId="0CA0E0E4" w:rsidR="00BE101B" w:rsidRPr="005A051F" w:rsidRDefault="00526CC7" w:rsidP="00526CC7">
      <w:pPr>
        <w:spacing w:after="0" w:line="360" w:lineRule="auto"/>
        <w:jc w:val="both"/>
        <w:rPr>
          <w:rFonts w:ascii="Times New Roman" w:hAnsi="Times New Roman" w:cs="Times New Roman"/>
          <w:b/>
          <w:sz w:val="24"/>
          <w:szCs w:val="24"/>
          <w:lang w:val="en-BR"/>
        </w:rPr>
      </w:pPr>
      <w:r w:rsidRPr="005A051F">
        <w:rPr>
          <w:rFonts w:ascii="Times New Roman" w:hAnsi="Times New Roman" w:cs="Times New Roman"/>
          <w:sz w:val="24"/>
          <w:szCs w:val="24"/>
        </w:rPr>
        <w:t xml:space="preserve">The analysis followed an interpretive qualitative approach, focusing on meaning construction and on how institutional practices contribute to shaping students’ academic experiences. From this </w:t>
      </w:r>
      <w:r w:rsidRPr="005A051F">
        <w:rPr>
          <w:rFonts w:ascii="Times New Roman" w:hAnsi="Times New Roman" w:cs="Times New Roman"/>
          <w:sz w:val="24"/>
          <w:szCs w:val="24"/>
        </w:rPr>
        <w:lastRenderedPageBreak/>
        <w:t>perspective, the study seeks to understand how relational and contextual conditions influence well-being, belonging, and the development of academic and professional trajectories.</w:t>
      </w:r>
    </w:p>
    <w:p w14:paraId="2BBB3C60" w14:textId="77777777" w:rsidR="00526CC7" w:rsidRPr="005A051F" w:rsidRDefault="00526CC7" w:rsidP="00E51D3A">
      <w:pPr>
        <w:spacing w:after="0" w:line="360" w:lineRule="auto"/>
        <w:jc w:val="both"/>
        <w:rPr>
          <w:rFonts w:ascii="Times New Roman" w:hAnsi="Times New Roman" w:cs="Times New Roman"/>
          <w:b/>
          <w:sz w:val="24"/>
          <w:szCs w:val="24"/>
        </w:rPr>
      </w:pPr>
    </w:p>
    <w:p w14:paraId="1BF4FEB7" w14:textId="7EC6CD34" w:rsidR="00CF004F" w:rsidRPr="005A051F" w:rsidRDefault="00000000" w:rsidP="00E51D3A">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Results</w:t>
      </w:r>
    </w:p>
    <w:p w14:paraId="79E1535B" w14:textId="6E86FA9A" w:rsidR="00F5280D" w:rsidRPr="005A051F" w:rsidRDefault="00F5280D" w:rsidP="00F5280D">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The findings indicate that the Welcoming model at Insper is structured as an integrated, longitudinal, and multiprofessional approach, articulating emotional, pedagogical, and institutional dimensions throughout the student journey. Unlike punctual interventions, the model is continuously embedded in the academic experience, with strong integration between welcoming, accessibility, and inclusion, as well as direct interaction with faculty and other institutional areas (Insper, 2026a; 2026b).</w:t>
      </w:r>
    </w:p>
    <w:p w14:paraId="606F465D" w14:textId="499EDCBC" w:rsidR="00F5280D" w:rsidRPr="005A051F" w:rsidRDefault="00F5280D" w:rsidP="00F5280D">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This configuration enhances the early identification of student needs and supports a preventive approach, overcoming the limitations of models based exclusively on individual clinical interventions (Brownson et al., 2016). In this sense, welcoming moves beyond responding to distress and becomes a structuring element of the academic trajectory.</w:t>
      </w:r>
    </w:p>
    <w:p w14:paraId="0603E3D4" w14:textId="23FABA6D" w:rsidR="00F5280D" w:rsidRPr="005A051F" w:rsidRDefault="00F5280D" w:rsidP="00F5280D">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Institutional data on socioemotional competencies further highlight the complexity of the student profile. High levels of self-reflection are observed alongside significant indicators of social anxiety, suggesting students who are highly aware of their experiences but face challenges in translating this awareness into relational engagement and self-efficacy (Insper, 2026c). In addition, the identification of groups with higher levels of mental health vulnerability points to internal inequalities within the student population.</w:t>
      </w:r>
    </w:p>
    <w:p w14:paraId="05F58665" w14:textId="7EE7F6F9" w:rsidR="00F5280D" w:rsidRPr="005A051F" w:rsidRDefault="00F5280D" w:rsidP="00F5280D">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From a social constructionist perspective, these findings reinforce that well-being is produced through relationships and institutional conditions (Gergen, 2009; McNamee &amp; Hosking, 2012). By influencing processes of adaptation, belonging, and meaning-making, the model directly impacts how students construct their academic and professional trajectories.</w:t>
      </w:r>
    </w:p>
    <w:p w14:paraId="66E06566" w14:textId="39DB02CD" w:rsidR="00F5280D" w:rsidRPr="005A051F" w:rsidRDefault="006763CD" w:rsidP="00913EE2">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In this regard, the findings align with contemporary approaches in </w:t>
      </w:r>
      <w:r w:rsidR="003850F4" w:rsidRPr="005A051F">
        <w:rPr>
          <w:rFonts w:ascii="Times New Roman" w:hAnsi="Times New Roman" w:cs="Times New Roman"/>
          <w:sz w:val="24"/>
          <w:szCs w:val="24"/>
        </w:rPr>
        <w:t>Career Guidance</w:t>
      </w:r>
      <w:r w:rsidRPr="005A051F">
        <w:rPr>
          <w:rFonts w:ascii="Times New Roman" w:hAnsi="Times New Roman" w:cs="Times New Roman"/>
          <w:sz w:val="24"/>
          <w:szCs w:val="24"/>
          <w:lang w:val="en-BR"/>
        </w:rPr>
        <w:t xml:space="preserve"> and development, highlighting the need for integrated institutional models that combine prevention, socioemotional development, and trajectory construction.</w:t>
      </w:r>
    </w:p>
    <w:p w14:paraId="40CF6118" w14:textId="2FB33333" w:rsidR="006A7D0B" w:rsidRPr="005A051F" w:rsidRDefault="006A7D0B" w:rsidP="00913EE2">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rPr>
        <w:t>These findings are consistent with broader evidence indicating that student well-being is unevenly distributed and influenced by contextual and sociodemographic factors, reinforcing the need for differentiated and inclusive institutional approaches (Melo et al., 2023).</w:t>
      </w:r>
    </w:p>
    <w:p w14:paraId="0BA68CA0" w14:textId="77777777" w:rsidR="006763CD" w:rsidRPr="005A051F" w:rsidRDefault="006763CD" w:rsidP="00913EE2">
      <w:pPr>
        <w:spacing w:after="0" w:line="360" w:lineRule="auto"/>
        <w:jc w:val="both"/>
        <w:rPr>
          <w:rFonts w:ascii="Times New Roman" w:hAnsi="Times New Roman" w:cs="Times New Roman"/>
          <w:b/>
          <w:sz w:val="24"/>
          <w:szCs w:val="24"/>
          <w:lang w:val="en-BR"/>
        </w:rPr>
      </w:pPr>
    </w:p>
    <w:p w14:paraId="41BEDF7F" w14:textId="64CEA6C3" w:rsidR="00CF004F" w:rsidRPr="005A051F" w:rsidRDefault="00000000" w:rsidP="00913EE2">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lastRenderedPageBreak/>
        <w:t>Conclusions</w:t>
      </w:r>
    </w:p>
    <w:p w14:paraId="37C8627F" w14:textId="41743602" w:rsidR="008F3494" w:rsidRPr="005A051F" w:rsidRDefault="008F3494" w:rsidP="008F3494">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The findings of this study demonstrate that welcoming practices, when structured as integrated institutional approaches, move beyond reactive support services and can be understood as a formative infrastructure in higher education. By articulating emotional, pedagogical, and institutional dimensions throughout the academic journey, the model enhances prevention, strengthens students’ sense of belonging, and supports their development in a more continuous and consistent way.</w:t>
      </w:r>
    </w:p>
    <w:p w14:paraId="07C88671" w14:textId="1AFAD40B" w:rsidR="008F3494" w:rsidRPr="005A051F" w:rsidRDefault="008F3494" w:rsidP="008F3494">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From a social constructionist perspective, the study reinforces that student well-being should not be understood as an individual attribute, but as a relational process produced through interactions and institutional conditions that shape the university experience (Gergen, 2009; McNamee &amp; Hosking, 2012). In this sense, welcoming emerges as an institutional mechanism that influences not only the academic experience, but also how students construct meaning around their trajectories.</w:t>
      </w:r>
    </w:p>
    <w:p w14:paraId="7C363DE0" w14:textId="0E98EC09" w:rsidR="008F3494" w:rsidRPr="005A051F" w:rsidRDefault="008F3494" w:rsidP="008F3494">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For the field of </w:t>
      </w:r>
      <w:r w:rsidR="003850F4" w:rsidRPr="005A051F">
        <w:rPr>
          <w:rFonts w:ascii="Times New Roman" w:hAnsi="Times New Roman" w:cs="Times New Roman"/>
          <w:sz w:val="24"/>
          <w:szCs w:val="24"/>
        </w:rPr>
        <w:t>Career Guidance</w:t>
      </w:r>
      <w:r w:rsidR="003850F4" w:rsidRPr="005A051F">
        <w:rPr>
          <w:rFonts w:ascii="Times New Roman" w:hAnsi="Times New Roman" w:cs="Times New Roman"/>
          <w:sz w:val="24"/>
          <w:szCs w:val="24"/>
          <w:lang w:val="en-BR"/>
        </w:rPr>
        <w:t xml:space="preserve"> </w:t>
      </w:r>
      <w:r w:rsidRPr="005A051F">
        <w:rPr>
          <w:rFonts w:ascii="Times New Roman" w:hAnsi="Times New Roman" w:cs="Times New Roman"/>
          <w:sz w:val="24"/>
          <w:szCs w:val="24"/>
          <w:lang w:val="en-BR"/>
        </w:rPr>
        <w:t>and development, the findings highlight the need to expand the focus of interventions by incorporating contextual, institutional, and relational dimensions into the understanding of career development. This implies recognizing that academic and professional trajectories are co-constructed within specific contexts and are directly influenced by the conditions provided by higher education institutions.</w:t>
      </w:r>
    </w:p>
    <w:p w14:paraId="0343638D" w14:textId="567CBB3F" w:rsidR="0016333A" w:rsidRPr="005A051F" w:rsidRDefault="008F3494" w:rsidP="00066335">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Finally, the study suggests that higher education institutions should advance toward the development of integrated student support models capable of addressing contemporary complexity and promoting not only student retention, but also more sustainable, coherent, and meaningful trajectories.</w:t>
      </w:r>
    </w:p>
    <w:p w14:paraId="0007EAB3" w14:textId="26EE2ED1" w:rsidR="002B1CD1" w:rsidRPr="005A051F" w:rsidRDefault="002B1CD1" w:rsidP="00066335">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rPr>
        <w:t>These findings reinforce the role of Career Guidance and Counselling as a strategic and institutional practice in higher education.</w:t>
      </w:r>
    </w:p>
    <w:p w14:paraId="73C1BC9B" w14:textId="77777777" w:rsidR="00066335" w:rsidRPr="005A051F" w:rsidRDefault="00066335" w:rsidP="00066335">
      <w:pPr>
        <w:spacing w:after="0" w:line="360" w:lineRule="auto"/>
        <w:jc w:val="both"/>
        <w:rPr>
          <w:rFonts w:ascii="Times New Roman" w:hAnsi="Times New Roman" w:cs="Times New Roman"/>
          <w:sz w:val="24"/>
          <w:szCs w:val="24"/>
          <w:lang w:val="en-BR"/>
        </w:rPr>
      </w:pPr>
    </w:p>
    <w:p w14:paraId="1AA78843" w14:textId="56E3FBE5" w:rsidR="00CF004F" w:rsidRPr="005A051F" w:rsidRDefault="00000000" w:rsidP="002B1CD1">
      <w:pPr>
        <w:spacing w:after="0" w:line="360" w:lineRule="auto"/>
        <w:jc w:val="both"/>
        <w:rPr>
          <w:rFonts w:ascii="Times New Roman" w:hAnsi="Times New Roman" w:cs="Times New Roman"/>
          <w:sz w:val="24"/>
          <w:szCs w:val="24"/>
        </w:rPr>
      </w:pPr>
      <w:r w:rsidRPr="005A051F">
        <w:rPr>
          <w:rFonts w:ascii="Times New Roman" w:hAnsi="Times New Roman" w:cs="Times New Roman"/>
          <w:b/>
          <w:sz w:val="24"/>
          <w:szCs w:val="24"/>
        </w:rPr>
        <w:t>References</w:t>
      </w:r>
    </w:p>
    <w:p w14:paraId="66EE5FC4" w14:textId="0A2BD958" w:rsidR="002B1CD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Brownson, C., Drum, D. J., Swanbrow Becker, M. A., Saathoff, A., &amp; Hentschel, E. (2016). Distress and suicidality in higher education: Implications for population-oriented prevention paradigms. Journal of College Student Psychotherapy, 30(2), 98–113. </w:t>
      </w:r>
      <w:hyperlink r:id="rId7" w:history="1">
        <w:r w:rsidR="00066335" w:rsidRPr="005A051F">
          <w:rPr>
            <w:rFonts w:ascii="Times New Roman" w:hAnsi="Times New Roman" w:cs="Times New Roman"/>
            <w:sz w:val="24"/>
            <w:szCs w:val="24"/>
          </w:rPr>
          <w:t>https://doi.org/10.1080/87568225.2016.1140978</w:t>
        </w:r>
      </w:hyperlink>
    </w:p>
    <w:p w14:paraId="375B3043" w14:textId="77777777" w:rsidR="005D0311" w:rsidRPr="005A051F" w:rsidRDefault="005D0311" w:rsidP="002B1CD1">
      <w:pPr>
        <w:spacing w:after="0" w:line="360" w:lineRule="auto"/>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Gergen, K. J. (2009). </w:t>
      </w:r>
      <w:r w:rsidRPr="005A051F">
        <w:rPr>
          <w:rFonts w:ascii="Times New Roman" w:hAnsi="Times New Roman" w:cs="Times New Roman"/>
          <w:i/>
          <w:iCs/>
          <w:sz w:val="24"/>
          <w:szCs w:val="24"/>
          <w:lang w:val="en-BR"/>
        </w:rPr>
        <w:t>An invitation to social construction</w:t>
      </w:r>
      <w:r w:rsidRPr="005A051F">
        <w:rPr>
          <w:rFonts w:ascii="Times New Roman" w:hAnsi="Times New Roman" w:cs="Times New Roman"/>
          <w:sz w:val="24"/>
          <w:szCs w:val="24"/>
          <w:lang w:val="en-BR"/>
        </w:rPr>
        <w:t xml:space="preserve"> (2nd ed.). SAGE.</w:t>
      </w:r>
    </w:p>
    <w:p w14:paraId="644B51AA"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lastRenderedPageBreak/>
        <w:t xml:space="preserve">Gonçalves, R. C. (2024). </w:t>
      </w:r>
      <w:r w:rsidRPr="005A051F">
        <w:rPr>
          <w:rFonts w:ascii="Times New Roman" w:hAnsi="Times New Roman" w:cs="Times New Roman"/>
          <w:i/>
          <w:iCs/>
          <w:sz w:val="24"/>
          <w:szCs w:val="24"/>
          <w:lang w:val="en-BR"/>
        </w:rPr>
        <w:t>Student illness in higher education: An analysis of the mental health of pedagogy undergraduates at UFAL/Campus do Sertão</w:t>
      </w:r>
      <w:r w:rsidRPr="005A051F">
        <w:rPr>
          <w:rFonts w:ascii="Times New Roman" w:hAnsi="Times New Roman" w:cs="Times New Roman"/>
          <w:sz w:val="24"/>
          <w:szCs w:val="24"/>
          <w:lang w:val="en-BR"/>
        </w:rPr>
        <w:t xml:space="preserve"> [Undergraduate thesis, Universidade Federal de Alagoas].</w:t>
      </w:r>
    </w:p>
    <w:p w14:paraId="2B4532FA"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Insper. (2026a). </w:t>
      </w:r>
      <w:r w:rsidRPr="005A051F">
        <w:rPr>
          <w:rFonts w:ascii="Times New Roman" w:hAnsi="Times New Roman" w:cs="Times New Roman"/>
          <w:i/>
          <w:iCs/>
          <w:sz w:val="24"/>
          <w:szCs w:val="24"/>
          <w:lang w:val="en-BR"/>
        </w:rPr>
        <w:t>Student Life report: Welcoming, accessibility and inclusion—January</w:t>
      </w:r>
      <w:r w:rsidRPr="005A051F">
        <w:rPr>
          <w:rFonts w:ascii="Times New Roman" w:hAnsi="Times New Roman" w:cs="Times New Roman"/>
          <w:sz w:val="24"/>
          <w:szCs w:val="24"/>
          <w:lang w:val="en-BR"/>
        </w:rPr>
        <w:t>. Insper – Institute of Education and Research.</w:t>
      </w:r>
    </w:p>
    <w:p w14:paraId="18C16130"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Insper. (2026b). </w:t>
      </w:r>
      <w:r w:rsidRPr="005A051F">
        <w:rPr>
          <w:rFonts w:ascii="Times New Roman" w:hAnsi="Times New Roman" w:cs="Times New Roman"/>
          <w:i/>
          <w:iCs/>
          <w:sz w:val="24"/>
          <w:szCs w:val="24"/>
          <w:lang w:val="en-BR"/>
        </w:rPr>
        <w:t>Student Life report: Welcoming, accessibility and inclusion—February</w:t>
      </w:r>
      <w:r w:rsidRPr="005A051F">
        <w:rPr>
          <w:rFonts w:ascii="Times New Roman" w:hAnsi="Times New Roman" w:cs="Times New Roman"/>
          <w:sz w:val="24"/>
          <w:szCs w:val="24"/>
          <w:lang w:val="en-BR"/>
        </w:rPr>
        <w:t>. Insper – Institute of Education and Research.</w:t>
      </w:r>
    </w:p>
    <w:p w14:paraId="4DBA2309"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Insper. (2026c). </w:t>
      </w:r>
      <w:r w:rsidRPr="005A051F">
        <w:rPr>
          <w:rFonts w:ascii="Times New Roman" w:hAnsi="Times New Roman" w:cs="Times New Roman"/>
          <w:i/>
          <w:iCs/>
          <w:sz w:val="24"/>
          <w:szCs w:val="24"/>
          <w:lang w:val="en-BR"/>
        </w:rPr>
        <w:t>Socioemotional competencies mapping of undergraduate students</w:t>
      </w:r>
      <w:r w:rsidRPr="005A051F">
        <w:rPr>
          <w:rFonts w:ascii="Times New Roman" w:hAnsi="Times New Roman" w:cs="Times New Roman"/>
          <w:sz w:val="24"/>
          <w:szCs w:val="24"/>
          <w:lang w:val="en-BR"/>
        </w:rPr>
        <w:t xml:space="preserve">. Insper – Center for Behavioral Studies and People Management. </w:t>
      </w:r>
    </w:p>
    <w:p w14:paraId="78DEFDBD"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Insper. (2026d). </w:t>
      </w:r>
      <w:r w:rsidRPr="005A051F">
        <w:rPr>
          <w:rFonts w:ascii="Times New Roman" w:hAnsi="Times New Roman" w:cs="Times New Roman"/>
          <w:i/>
          <w:iCs/>
          <w:sz w:val="24"/>
          <w:szCs w:val="24"/>
          <w:lang w:val="en-BR"/>
        </w:rPr>
        <w:t>Executive report on student support and mental health: Student Life and Symplicity partnership insights</w:t>
      </w:r>
      <w:r w:rsidRPr="005A051F">
        <w:rPr>
          <w:rFonts w:ascii="Times New Roman" w:hAnsi="Times New Roman" w:cs="Times New Roman"/>
          <w:sz w:val="24"/>
          <w:szCs w:val="24"/>
          <w:lang w:val="en-BR"/>
        </w:rPr>
        <w:t>. Insper – Institute of Education and Research.</w:t>
      </w:r>
    </w:p>
    <w:p w14:paraId="680E2E52"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Martins, F. I. da S., Franco, A. L. C., Martins, J. A. de A., Felipe, G. F., &amp; Morais, J. D. de. (2024)</w:t>
      </w:r>
      <w:r w:rsidRPr="005A051F">
        <w:rPr>
          <w:rFonts w:ascii="Times New Roman" w:hAnsi="Times New Roman" w:cs="Times New Roman"/>
          <w:i/>
          <w:iCs/>
          <w:sz w:val="24"/>
          <w:szCs w:val="24"/>
          <w:lang w:val="en-BR"/>
        </w:rPr>
        <w:t>. Psychosocial impact of the COVID-19 pandemic on higher education students. Boletim de Conjuntura</w:t>
      </w:r>
      <w:r w:rsidRPr="005A051F">
        <w:rPr>
          <w:rFonts w:ascii="Times New Roman" w:hAnsi="Times New Roman" w:cs="Times New Roman"/>
          <w:sz w:val="24"/>
          <w:szCs w:val="24"/>
          <w:lang w:val="en-BR"/>
        </w:rPr>
        <w:t xml:space="preserve"> (BOCA), 18(52), 22–41.</w:t>
      </w:r>
    </w:p>
    <w:p w14:paraId="389213B4"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McNamee, S., &amp; Hosking, D. M. (2012). </w:t>
      </w:r>
      <w:r w:rsidRPr="005A051F">
        <w:rPr>
          <w:rFonts w:ascii="Times New Roman" w:hAnsi="Times New Roman" w:cs="Times New Roman"/>
          <w:i/>
          <w:iCs/>
          <w:sz w:val="24"/>
          <w:szCs w:val="24"/>
          <w:lang w:val="en-BR"/>
        </w:rPr>
        <w:t>Research and social change: A relational constructionist approach</w:t>
      </w:r>
      <w:r w:rsidRPr="005A051F">
        <w:rPr>
          <w:rFonts w:ascii="Times New Roman" w:hAnsi="Times New Roman" w:cs="Times New Roman"/>
          <w:sz w:val="24"/>
          <w:szCs w:val="24"/>
          <w:lang w:val="en-BR"/>
        </w:rPr>
        <w:t>. Routledge.</w:t>
      </w:r>
    </w:p>
    <w:p w14:paraId="02E6CF9A"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Melo, C. V. G., Muñoz, B. L., Romio, J. A. F., &amp; Santos, A. de O. (2023). </w:t>
      </w:r>
      <w:r w:rsidRPr="005A051F">
        <w:rPr>
          <w:rFonts w:ascii="Times New Roman" w:hAnsi="Times New Roman" w:cs="Times New Roman"/>
          <w:i/>
          <w:iCs/>
          <w:sz w:val="24"/>
          <w:szCs w:val="24"/>
          <w:lang w:val="en-BR"/>
        </w:rPr>
        <w:t>The subjective well-being of students at the University of São Paulo at the intersection of race, gender, and income during the COVID-19 pandemic</w:t>
      </w:r>
      <w:r w:rsidRPr="005A051F">
        <w:rPr>
          <w:rFonts w:ascii="Times New Roman" w:hAnsi="Times New Roman" w:cs="Times New Roman"/>
          <w:sz w:val="24"/>
          <w:szCs w:val="24"/>
          <w:lang w:val="en-BR"/>
        </w:rPr>
        <w:t>. International Journal of Human Sciences Research, 3(5).</w:t>
      </w:r>
    </w:p>
    <w:p w14:paraId="4C3A10D9" w14:textId="4F3016C8"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Organisation for Economic Co-operation and Development (OECD). (2023). </w:t>
      </w:r>
      <w:r w:rsidRPr="005A051F">
        <w:rPr>
          <w:rFonts w:ascii="Times New Roman" w:hAnsi="Times New Roman" w:cs="Times New Roman"/>
          <w:i/>
          <w:iCs/>
          <w:sz w:val="24"/>
          <w:szCs w:val="24"/>
          <w:lang w:val="en-BR"/>
        </w:rPr>
        <w:t>Student mental health and well-being: Policies and practices.</w:t>
      </w:r>
      <w:r w:rsidRPr="005A051F">
        <w:rPr>
          <w:rFonts w:ascii="Times New Roman" w:hAnsi="Times New Roman" w:cs="Times New Roman"/>
          <w:sz w:val="24"/>
          <w:szCs w:val="24"/>
          <w:lang w:val="en-BR"/>
        </w:rPr>
        <w:t xml:space="preserve"> OECD Publishing.</w:t>
      </w:r>
    </w:p>
    <w:p w14:paraId="7ADC2D44" w14:textId="77777777" w:rsidR="0016333A"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Reis, D. M. F. (2024). </w:t>
      </w:r>
      <w:r w:rsidRPr="005A051F">
        <w:rPr>
          <w:rFonts w:ascii="Times New Roman" w:hAnsi="Times New Roman" w:cs="Times New Roman"/>
          <w:i/>
          <w:iCs/>
          <w:sz w:val="24"/>
          <w:szCs w:val="24"/>
          <w:lang w:val="en-BR"/>
        </w:rPr>
        <w:t>A qualitative study of higher education students’ needs and preferences in the development of mental health programs</w:t>
      </w:r>
      <w:r w:rsidRPr="005A051F">
        <w:rPr>
          <w:rFonts w:ascii="Times New Roman" w:hAnsi="Times New Roman" w:cs="Times New Roman"/>
          <w:sz w:val="24"/>
          <w:szCs w:val="24"/>
          <w:lang w:val="en-BR"/>
        </w:rPr>
        <w:t xml:space="preserve"> [Master’s thesis, Universidade da Beira Interior].</w:t>
      </w:r>
    </w:p>
    <w:p w14:paraId="27D3D9B6" w14:textId="0F8BA240"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Savickas, M. L. (2009). Career construction theory and practice. In S. D. Brown &amp; R. W. Lent (Eds.), </w:t>
      </w:r>
      <w:r w:rsidRPr="005A051F">
        <w:rPr>
          <w:rFonts w:ascii="Times New Roman" w:hAnsi="Times New Roman" w:cs="Times New Roman"/>
          <w:i/>
          <w:iCs/>
          <w:sz w:val="24"/>
          <w:szCs w:val="24"/>
          <w:lang w:val="en-BR"/>
        </w:rPr>
        <w:t>Career development and counseling: Putting theory and research to work</w:t>
      </w:r>
      <w:r w:rsidRPr="005A051F">
        <w:rPr>
          <w:rFonts w:ascii="Times New Roman" w:hAnsi="Times New Roman" w:cs="Times New Roman"/>
          <w:sz w:val="24"/>
          <w:szCs w:val="24"/>
          <w:lang w:val="en-BR"/>
        </w:rPr>
        <w:t xml:space="preserve"> (pp. 42–70). Wiley.</w:t>
      </w:r>
    </w:p>
    <w:p w14:paraId="6541EAFF" w14:textId="77777777" w:rsidR="005D0311"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t xml:space="preserve">Sousa, J. M., Farinha, M. G., Caixeta, C. C., Lucchese, R., Ramos, L. F. C., &amp; Esperidião, E. (2025). </w:t>
      </w:r>
      <w:r w:rsidRPr="005A051F">
        <w:rPr>
          <w:rFonts w:ascii="Times New Roman" w:hAnsi="Times New Roman" w:cs="Times New Roman"/>
          <w:i/>
          <w:iCs/>
          <w:sz w:val="24"/>
          <w:szCs w:val="24"/>
          <w:lang w:val="en-BR"/>
        </w:rPr>
        <w:t>Happiness at university: A necessary reflection on mental health and quality of life among university students.</w:t>
      </w:r>
      <w:r w:rsidRPr="005A051F">
        <w:rPr>
          <w:rFonts w:ascii="Times New Roman" w:hAnsi="Times New Roman" w:cs="Times New Roman"/>
          <w:sz w:val="24"/>
          <w:szCs w:val="24"/>
          <w:lang w:val="en-BR"/>
        </w:rPr>
        <w:t xml:space="preserve"> Revista AMAzônica, 18(1), 1048–1060.</w:t>
      </w:r>
    </w:p>
    <w:p w14:paraId="56832753" w14:textId="1C057820" w:rsidR="0016333A" w:rsidRPr="005A051F" w:rsidRDefault="005D0311" w:rsidP="002B1CD1">
      <w:pPr>
        <w:spacing w:after="0" w:line="360" w:lineRule="auto"/>
        <w:ind w:left="720" w:hanging="720"/>
        <w:jc w:val="both"/>
        <w:rPr>
          <w:rFonts w:ascii="Times New Roman" w:hAnsi="Times New Roman" w:cs="Times New Roman"/>
          <w:sz w:val="24"/>
          <w:szCs w:val="24"/>
          <w:lang w:val="en-BR"/>
        </w:rPr>
      </w:pPr>
      <w:r w:rsidRPr="005A051F">
        <w:rPr>
          <w:rFonts w:ascii="Times New Roman" w:hAnsi="Times New Roman" w:cs="Times New Roman"/>
          <w:sz w:val="24"/>
          <w:szCs w:val="24"/>
          <w:lang w:val="en-BR"/>
        </w:rPr>
        <w:lastRenderedPageBreak/>
        <w:t xml:space="preserve">World Health Organization (WHO). (2023). </w:t>
      </w:r>
      <w:r w:rsidRPr="005A051F">
        <w:rPr>
          <w:rFonts w:ascii="Times New Roman" w:hAnsi="Times New Roman" w:cs="Times New Roman"/>
          <w:i/>
          <w:iCs/>
          <w:sz w:val="24"/>
          <w:szCs w:val="24"/>
          <w:lang w:val="en-BR"/>
        </w:rPr>
        <w:t>Mental health of young people.</w:t>
      </w:r>
      <w:r w:rsidRPr="005A051F">
        <w:rPr>
          <w:rFonts w:ascii="Times New Roman" w:hAnsi="Times New Roman" w:cs="Times New Roman"/>
          <w:sz w:val="24"/>
          <w:szCs w:val="24"/>
          <w:lang w:val="en-BR"/>
        </w:rPr>
        <w:t xml:space="preserve"> </w:t>
      </w:r>
      <w:hyperlink r:id="rId8" w:history="1">
        <w:r w:rsidR="0016333A" w:rsidRPr="005A051F">
          <w:rPr>
            <w:rStyle w:val="Hyperlink"/>
            <w:rFonts w:ascii="Times New Roman" w:hAnsi="Times New Roman" w:cs="Times New Roman"/>
            <w:sz w:val="24"/>
            <w:szCs w:val="24"/>
            <w:lang w:val="en-BR"/>
          </w:rPr>
          <w:t>https://www.who.int</w:t>
        </w:r>
      </w:hyperlink>
    </w:p>
    <w:p w14:paraId="05D3463A" w14:textId="3FC6E1E5" w:rsidR="00CF004F" w:rsidRPr="005A051F" w:rsidRDefault="00CF004F" w:rsidP="009F7901">
      <w:pPr>
        <w:spacing w:after="0" w:line="360" w:lineRule="auto"/>
        <w:jc w:val="both"/>
        <w:rPr>
          <w:rFonts w:ascii="Times New Roman" w:hAnsi="Times New Roman" w:cs="Times New Roman"/>
          <w:sz w:val="24"/>
          <w:szCs w:val="24"/>
        </w:rPr>
      </w:pPr>
    </w:p>
    <w:sectPr w:rsidR="00CF004F" w:rsidRPr="005A051F" w:rsidSect="00A30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27986"/>
    <w:multiLevelType w:val="hybridMultilevel"/>
    <w:tmpl w:val="047A2754"/>
    <w:lvl w:ilvl="0" w:tplc="47FC04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B279D0"/>
    <w:multiLevelType w:val="hybridMultilevel"/>
    <w:tmpl w:val="0A8A8AFA"/>
    <w:lvl w:ilvl="0" w:tplc="041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C4F2A"/>
    <w:multiLevelType w:val="hybridMultilevel"/>
    <w:tmpl w:val="6756E346"/>
    <w:lvl w:ilvl="0" w:tplc="041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BB6AA7"/>
    <w:multiLevelType w:val="multilevel"/>
    <w:tmpl w:val="958E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420701">
    <w:abstractNumId w:val="8"/>
  </w:num>
  <w:num w:numId="2" w16cid:durableId="1958637405">
    <w:abstractNumId w:val="6"/>
  </w:num>
  <w:num w:numId="3" w16cid:durableId="1477915868">
    <w:abstractNumId w:val="5"/>
  </w:num>
  <w:num w:numId="4" w16cid:durableId="1931085570">
    <w:abstractNumId w:val="4"/>
  </w:num>
  <w:num w:numId="5" w16cid:durableId="1985618897">
    <w:abstractNumId w:val="7"/>
  </w:num>
  <w:num w:numId="6" w16cid:durableId="1982424563">
    <w:abstractNumId w:val="3"/>
  </w:num>
  <w:num w:numId="7" w16cid:durableId="877742526">
    <w:abstractNumId w:val="2"/>
  </w:num>
  <w:num w:numId="8" w16cid:durableId="1688679402">
    <w:abstractNumId w:val="1"/>
  </w:num>
  <w:num w:numId="9" w16cid:durableId="522747152">
    <w:abstractNumId w:val="0"/>
  </w:num>
  <w:num w:numId="10" w16cid:durableId="1053890841">
    <w:abstractNumId w:val="10"/>
  </w:num>
  <w:num w:numId="11" w16cid:durableId="603342756">
    <w:abstractNumId w:val="12"/>
  </w:num>
  <w:num w:numId="12" w16cid:durableId="1982274090">
    <w:abstractNumId w:val="11"/>
  </w:num>
  <w:num w:numId="13" w16cid:durableId="15654903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686"/>
    <w:rsid w:val="0006063C"/>
    <w:rsid w:val="00066335"/>
    <w:rsid w:val="000A6F1B"/>
    <w:rsid w:val="0015074B"/>
    <w:rsid w:val="0016333A"/>
    <w:rsid w:val="00185347"/>
    <w:rsid w:val="00246A4D"/>
    <w:rsid w:val="00252E99"/>
    <w:rsid w:val="0029617B"/>
    <w:rsid w:val="0029639D"/>
    <w:rsid w:val="002B1CD1"/>
    <w:rsid w:val="00326F90"/>
    <w:rsid w:val="00374A14"/>
    <w:rsid w:val="003850F4"/>
    <w:rsid w:val="004023B4"/>
    <w:rsid w:val="00420FFF"/>
    <w:rsid w:val="00454D86"/>
    <w:rsid w:val="004D2154"/>
    <w:rsid w:val="00526CC7"/>
    <w:rsid w:val="00556ECA"/>
    <w:rsid w:val="005A051F"/>
    <w:rsid w:val="005D0311"/>
    <w:rsid w:val="00600F9E"/>
    <w:rsid w:val="006235A9"/>
    <w:rsid w:val="00647DE5"/>
    <w:rsid w:val="00667FAC"/>
    <w:rsid w:val="006763CD"/>
    <w:rsid w:val="006879B2"/>
    <w:rsid w:val="006A7D0B"/>
    <w:rsid w:val="00730BBB"/>
    <w:rsid w:val="008F3494"/>
    <w:rsid w:val="00907230"/>
    <w:rsid w:val="00913EE2"/>
    <w:rsid w:val="009F7901"/>
    <w:rsid w:val="00A30F9C"/>
    <w:rsid w:val="00AA1D8D"/>
    <w:rsid w:val="00B11005"/>
    <w:rsid w:val="00B16B5C"/>
    <w:rsid w:val="00B47730"/>
    <w:rsid w:val="00B90BA4"/>
    <w:rsid w:val="00B977EB"/>
    <w:rsid w:val="00BE101B"/>
    <w:rsid w:val="00C36108"/>
    <w:rsid w:val="00CA2DBB"/>
    <w:rsid w:val="00CB0664"/>
    <w:rsid w:val="00CD00C0"/>
    <w:rsid w:val="00CF004F"/>
    <w:rsid w:val="00D04170"/>
    <w:rsid w:val="00DD22C0"/>
    <w:rsid w:val="00E009F7"/>
    <w:rsid w:val="00E3603B"/>
    <w:rsid w:val="00E51D3A"/>
    <w:rsid w:val="00F5280D"/>
    <w:rsid w:val="00FA7E04"/>
    <w:rsid w:val="00FC693F"/>
    <w:rsid w:val="00FE2430"/>
    <w:rsid w:val="00FF7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2060C"/>
  <w14:defaultImageDpi w14:val="300"/>
  <w15:docId w15:val="{A8FC76D5-7B42-9442-BE8C-CF4406A7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52E99"/>
    <w:rPr>
      <w:color w:val="0000FF" w:themeColor="hyperlink"/>
      <w:u w:val="single"/>
    </w:rPr>
  </w:style>
  <w:style w:type="character" w:styleId="UnresolvedMention">
    <w:name w:val="Unresolved Mention"/>
    <w:basedOn w:val="DefaultParagraphFont"/>
    <w:uiPriority w:val="99"/>
    <w:semiHidden/>
    <w:unhideWhenUsed/>
    <w:rsid w:val="00252E99"/>
    <w:rPr>
      <w:color w:val="605E5C"/>
      <w:shd w:val="clear" w:color="auto" w:fill="E1DFDD"/>
    </w:rPr>
  </w:style>
  <w:style w:type="character" w:styleId="FollowedHyperlink">
    <w:name w:val="FollowedHyperlink"/>
    <w:basedOn w:val="DefaultParagraphFont"/>
    <w:uiPriority w:val="99"/>
    <w:semiHidden/>
    <w:unhideWhenUsed/>
    <w:rsid w:val="00600F9E"/>
    <w:rPr>
      <w:color w:val="800080" w:themeColor="followedHyperlink"/>
      <w:u w:val="single"/>
    </w:rPr>
  </w:style>
  <w:style w:type="paragraph" w:styleId="NormalWeb">
    <w:name w:val="Normal (Web)"/>
    <w:basedOn w:val="Normal"/>
    <w:uiPriority w:val="99"/>
    <w:semiHidden/>
    <w:unhideWhenUsed/>
    <w:rsid w:val="000A6F1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6333A"/>
    <w:rPr>
      <w:sz w:val="16"/>
      <w:szCs w:val="16"/>
    </w:rPr>
  </w:style>
  <w:style w:type="paragraph" w:styleId="CommentText">
    <w:name w:val="annotation text"/>
    <w:basedOn w:val="Normal"/>
    <w:link w:val="CommentTextChar"/>
    <w:uiPriority w:val="99"/>
    <w:unhideWhenUsed/>
    <w:rsid w:val="0016333A"/>
    <w:pPr>
      <w:spacing w:line="240" w:lineRule="auto"/>
    </w:pPr>
    <w:rPr>
      <w:sz w:val="20"/>
      <w:szCs w:val="20"/>
    </w:rPr>
  </w:style>
  <w:style w:type="character" w:customStyle="1" w:styleId="CommentTextChar">
    <w:name w:val="Comment Text Char"/>
    <w:basedOn w:val="DefaultParagraphFont"/>
    <w:link w:val="CommentText"/>
    <w:uiPriority w:val="99"/>
    <w:rsid w:val="0016333A"/>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 TargetMode="External"/><Relationship Id="rId3" Type="http://schemas.openxmlformats.org/officeDocument/2006/relationships/styles" Target="styles.xml"/><Relationship Id="rId7" Type="http://schemas.openxmlformats.org/officeDocument/2006/relationships/hyperlink" Target="https://doi.org/10.1080/87568225.2016.114097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acmbs1@insper.edu.b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2144</Words>
  <Characters>14131</Characters>
  <Application>Microsoft Office Word</Application>
  <DocSecurity>0</DocSecurity>
  <Lines>204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Renice Aparecida Pombani Ton</cp:lastModifiedBy>
  <cp:revision>14</cp:revision>
  <dcterms:created xsi:type="dcterms:W3CDTF">2026-04-17T00:51:00Z</dcterms:created>
  <dcterms:modified xsi:type="dcterms:W3CDTF">2026-04-17T04:23:00Z</dcterms:modified>
  <cp:category/>
</cp:coreProperties>
</file>