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944" w14:textId="5E0DA4A5" w:rsidR="00574835" w:rsidRPr="005F46F8" w:rsidRDefault="00574835" w:rsidP="005748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 xml:space="preserve">Developing and Validating a Self-Assessment </w:t>
      </w:r>
      <w:r w:rsidR="00522294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Instrument</w:t>
      </w: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 xml:space="preserve"> for Transversal </w:t>
      </w:r>
      <w:r w:rsidR="003B7175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Competences</w:t>
      </w: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 xml:space="preserve"> in Lower Secondary Students</w:t>
      </w:r>
    </w:p>
    <w:p w14:paraId="33E57B62" w14:textId="77777777" w:rsidR="00182914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Authors: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Isabella Valbusa¹, </w:t>
      </w:r>
      <w:r w:rsidR="00182914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Joël Viau², &amp;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Jérôme Rossier¹,</w:t>
      </w:r>
    </w:p>
    <w:p w14:paraId="7D0BA9C2" w14:textId="512750F6" w:rsidR="00182914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¹ </w:t>
      </w:r>
      <w:r w:rsidR="00182914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Research Center in Vocational Psychology and Career counseling,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University of Lausanne, Switzerland</w:t>
      </w:r>
    </w:p>
    <w:p w14:paraId="7110A340" w14:textId="4BEE45E8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² </w:t>
      </w:r>
      <w:r w:rsidR="00182914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State Office of Educational and Career Guidance, State of Vaud, Lausanne, Switzerland</w:t>
      </w:r>
    </w:p>
    <w:p w14:paraId="2653CE61" w14:textId="262D7499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Conference theme: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Research - </w:t>
      </w:r>
      <w:r w:rsidRPr="005F46F8">
        <w:rPr>
          <w:lang w:val="en-US"/>
        </w:rPr>
        <w:t>Future Directions in Research</w:t>
      </w:r>
    </w:p>
    <w:p w14:paraId="782129F0" w14:textId="10B9F436" w:rsidR="00574835" w:rsidRPr="005F46F8" w:rsidRDefault="00182914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Poster</w:t>
      </w:r>
      <w:r w:rsidR="00574835"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:</w:t>
      </w:r>
      <w:r w:rsidR="00574835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English</w:t>
      </w:r>
    </w:p>
    <w:p w14:paraId="256A93AA" w14:textId="3385FB00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Keywords: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transversal </w:t>
      </w:r>
      <w:r w:rsidR="001921A9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skills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; self-assessment; scale validation</w:t>
      </w:r>
    </w:p>
    <w:p w14:paraId="04AFB009" w14:textId="77777777" w:rsidR="00574835" w:rsidRPr="005F46F8" w:rsidRDefault="00574835" w:rsidP="0057483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n-US" w:eastAsia="fr-FR"/>
          <w14:ligatures w14:val="none"/>
        </w:rPr>
        <w:t>Abstract</w:t>
      </w:r>
    </w:p>
    <w:p w14:paraId="6301037D" w14:textId="6161D5E2" w:rsidR="00574835" w:rsidRPr="000623A6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Introduction.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Transversal </w:t>
      </w:r>
      <w:r w:rsidR="003B717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competences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, which are referred to as soft skills, key competences, or life skills, are increasingly recognized as essential for lifelong learning, employability, and successful school-to-work transitions (European Commission, 2019; OECD, 2023). In French-speaking Switzerland, the Inter</w:t>
      </w:r>
      <w:r w:rsidR="0018291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state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Conference of Public Education (CIIP) has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recently developed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a </w:t>
      </w:r>
      <w:r w:rsidR="00182914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Profile of Trans</w:t>
      </w:r>
      <w:r w:rsidR="004618B1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versal</w:t>
      </w:r>
      <w:r w:rsidR="00182914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 xml:space="preserve"> </w:t>
      </w:r>
      <w:r w:rsidR="003B7175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Competences</w:t>
      </w:r>
      <w:r w:rsidR="00182914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 xml:space="preserve">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(</w:t>
      </w:r>
      <w:r w:rsidR="000623A6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PTC, or in </w:t>
      </w:r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 xml:space="preserve">French </w:t>
      </w:r>
      <w:proofErr w:type="spellStart"/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Profil</w:t>
      </w:r>
      <w:proofErr w:type="spellEnd"/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 xml:space="preserve"> de </w:t>
      </w:r>
      <w:proofErr w:type="spellStart"/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Compétences</w:t>
      </w:r>
      <w:proofErr w:type="spellEnd"/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 xml:space="preserve"> </w:t>
      </w:r>
      <w:proofErr w:type="spellStart"/>
      <w:r w:rsidR="000623A6" w:rsidRPr="000623A6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lang w:val="en-US" w:eastAsia="fr-FR"/>
          <w14:ligatures w14:val="none"/>
        </w:rPr>
        <w:t>Transversales</w:t>
      </w:r>
      <w:proofErr w:type="spellEnd"/>
      <w:r w:rsidR="000623A6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, PCT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). These </w:t>
      </w:r>
      <w:r w:rsidR="000E32AC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competences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in self-knowledge and career orientation should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support students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in their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t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ransition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at the end of compulsory education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(</w:t>
      </w:r>
      <w:proofErr w:type="spellStart"/>
      <w:r w:rsidR="00BA245F" w:rsidRPr="000623A6">
        <w:rPr>
          <w:rFonts w:ascii="Times New Roman" w:hAnsi="Times New Roman" w:cs="Times New Roman"/>
          <w:color w:val="000000" w:themeColor="text1"/>
          <w:lang w:val="en-US"/>
        </w:rPr>
        <w:t>Bourgoz</w:t>
      </w:r>
      <w:proofErr w:type="spellEnd"/>
      <w:r w:rsidR="00BA245F" w:rsidRPr="000623A6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proofErr w:type="spellStart"/>
      <w:r w:rsidR="00BA245F" w:rsidRPr="000623A6">
        <w:rPr>
          <w:rFonts w:ascii="Times New Roman" w:hAnsi="Times New Roman" w:cs="Times New Roman"/>
          <w:color w:val="000000" w:themeColor="text1"/>
          <w:lang w:val="en-US"/>
        </w:rPr>
        <w:t>Froidevaux</w:t>
      </w:r>
      <w:proofErr w:type="spellEnd"/>
      <w:r w:rsidR="00BA245F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&amp;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Schneider, 202</w:t>
      </w:r>
      <w:r w:rsidR="00BA245F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2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). The </w:t>
      </w:r>
      <w:r w:rsidR="000623A6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PTC </w:t>
      </w:r>
      <w:r w:rsidR="00182914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includes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28 transversal competences organized into three dimensions: personal, social, and methodological. While the </w:t>
      </w:r>
      <w:r w:rsidR="000623A6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PTC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framework provides rich qualitative descriptors for self-evaluation, a psychometrically validated quantitative self-assessment instrument is missing.</w:t>
      </w:r>
    </w:p>
    <w:p w14:paraId="5E763BFF" w14:textId="0AB22C95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0623A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fr-FR"/>
          <w14:ligatures w14:val="none"/>
        </w:rPr>
        <w:t>Objectives.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This study aims to (1) develop and validate a quantitative self-assessment questionnaire measuring the 28 transversal </w:t>
      </w:r>
      <w:r w:rsidR="000E32AC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>competences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 of the </w:t>
      </w:r>
      <w:r w:rsidR="000623A6"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PTC </w:t>
      </w:r>
      <w:r w:rsidRPr="000623A6">
        <w:rPr>
          <w:rFonts w:ascii="Times New Roman" w:eastAsia="Times New Roman" w:hAnsi="Times New Roman" w:cs="Times New Roman"/>
          <w:color w:val="000000" w:themeColor="text1"/>
          <w:kern w:val="0"/>
          <w:lang w:val="en-US" w:eastAsia="fr-FR"/>
          <w14:ligatures w14:val="none"/>
        </w:rPr>
        <w:t xml:space="preserve">framework, and (2) examine its associations with career readiness and career decision-making self-efficacy in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lower secondary students.</w:t>
      </w:r>
      <w:r w:rsidR="00C613DF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The instrument is grounded in Tardif's (2006) definition of competence as a complex </w:t>
      </w:r>
      <w:r w:rsidR="0018291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“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know ho</w:t>
      </w:r>
      <w:r w:rsidR="00DF54CB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w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to act</w:t>
      </w:r>
      <w:r w:rsidR="0018291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”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involving the mobilization of internal and external resources, clearly distinguished from personality traits (</w:t>
      </w:r>
      <w:proofErr w:type="spellStart"/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Morizot</w:t>
      </w:r>
      <w:proofErr w:type="spellEnd"/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&amp; Miranda, 2007). The study also draws on career development theory, in which self-knowledge is a prerequisite for informed vocational choices and is explicitly targeted in the </w:t>
      </w:r>
      <w:r w:rsidR="00182914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curriculum of the French-speaking compulsory schools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(objective FG 33).</w:t>
      </w:r>
    </w:p>
    <w:p w14:paraId="78E89594" w14:textId="50B0B14B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Methodology.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The project follows a two-phase design. In Phase 1, an initial item pool of 196 items (7 items for each competence) was developed and administered using a 5-point Likert response scale. The questionnaire was administered to approximately 200 students aged 1</w:t>
      </w:r>
      <w:r w:rsidR="00DF03F0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3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–16 in French-speaking Switzerland. Exploratory factor analyses and reliability analyses are conducted to identify, for each competence, the 5 most representative items and to examine the dimensional structure of the instrument. In Phase 2, the validated instrument will be administered to approximately 300 students together with the Career Decision-Making Self-Efficacy Scale (CDSE; Betz et al., 1996</w:t>
      </w:r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; </w:t>
      </w:r>
      <w:proofErr w:type="spellStart"/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Gaudron</w:t>
      </w:r>
      <w:proofErr w:type="spellEnd"/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, 2013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) and the Student Career Readiness Index (SCRI; Dodd et al., 2022), to assess convergent validity and the associations between self-assessed transversal competences and career-related outcomes.</w:t>
      </w:r>
    </w:p>
    <w:p w14:paraId="0DBF36D8" w14:textId="6DC06E71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lastRenderedPageBreak/>
        <w:t>Results.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Phase 1 results will be presented, including item analyses, factor structure, reliability indices, and the final 5-item subsets retained for each of the 28 competences. Preliminary evidence regarding the three-dimensional structure (personal, social, methodological) will be discussed.</w:t>
      </w:r>
    </w:p>
    <w:p w14:paraId="7BA7BB7B" w14:textId="4271CAF3" w:rsidR="00574835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Conclusions.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The study </w:t>
      </w:r>
      <w:r w:rsidR="00C86D5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presents</w:t>
      </w:r>
      <w:r w:rsidR="00C86D55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a short, psychometrically </w:t>
      </w:r>
      <w:r w:rsidR="00F22BD9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sound</w:t>
      </w:r>
      <w:r w:rsidR="00AF69A3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self-assessment </w:t>
      </w:r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instrument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. Such an instrument can support career counsellors and teachers in fostering students</w:t>
      </w:r>
      <w:r w:rsidR="00C86D5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’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self-knowledge during career </w:t>
      </w:r>
      <w:r w:rsidR="00C86D55" w:rsidRPr="00C86D5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guidance and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enables quantitative research on the role of transversal competences in adolescent career development. Expected associations with career readiness and career decision-making self-efficacy will inform both guidance practice and future longitudinal research on </w:t>
      </w:r>
      <w:r w:rsidR="00C86D5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the t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ransition </w:t>
      </w:r>
      <w:r w:rsidR="00C86D55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at the end of compulsory education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.</w:t>
      </w:r>
    </w:p>
    <w:p w14:paraId="49E47841" w14:textId="77777777" w:rsidR="00BA245F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b/>
          <w:bCs/>
          <w:kern w:val="0"/>
          <w:lang w:val="en-US" w:eastAsia="fr-FR"/>
          <w14:ligatures w14:val="none"/>
        </w:rPr>
        <w:t>References</w:t>
      </w:r>
    </w:p>
    <w:p w14:paraId="06A8BBF4" w14:textId="4E9BD9E0" w:rsidR="00BA245F" w:rsidRPr="005F46F8" w:rsidRDefault="00574835" w:rsidP="00BA245F">
      <w:pPr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Betz, N. E., Klein, K. L., &amp; Taylor, K. M. (1996). Evaluation of a short form of the Career Decision-Making Self-Efficacy Scale. </w:t>
      </w:r>
      <w:r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Journal of Career Assessment, 4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(1), 47–57. </w:t>
      </w:r>
      <w:hyperlink r:id="rId5" w:history="1">
        <w:r w:rsidR="00BA245F" w:rsidRPr="005F46F8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fr-FR"/>
            <w14:ligatures w14:val="none"/>
          </w:rPr>
          <w:t>https://doi.org/10.1177/106907279600400103</w:t>
        </w:r>
      </w:hyperlink>
    </w:p>
    <w:p w14:paraId="180DEED0" w14:textId="35879906" w:rsidR="0024728F" w:rsidRDefault="0024728F" w:rsidP="00247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Bourgoz</w:t>
      </w:r>
      <w:proofErr w:type="spellEnd"/>
      <w:r w:rsidRPr="005F46F8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Froidevaux</w:t>
      </w:r>
      <w:proofErr w:type="spellEnd"/>
      <w:r w:rsidRPr="005F46F8">
        <w:rPr>
          <w:rFonts w:ascii="Times New Roman" w:hAnsi="Times New Roman" w:cs="Times New Roman"/>
          <w:color w:val="000000"/>
          <w:lang w:val="en-US"/>
        </w:rPr>
        <w:t xml:space="preserve">, A. &amp; Schneider, C. (2022). Les </w:t>
      </w: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capacités</w:t>
      </w:r>
      <w:proofErr w:type="spellEnd"/>
      <w:r w:rsidRPr="005F46F8">
        <w:rPr>
          <w:rFonts w:ascii="Times New Roman" w:hAnsi="Times New Roman" w:cs="Times New Roman"/>
          <w:color w:val="000000"/>
          <w:lang w:val="en-US"/>
        </w:rPr>
        <w:t xml:space="preserve"> </w:t>
      </w: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transversales</w:t>
      </w:r>
      <w:proofErr w:type="spellEnd"/>
      <w:r w:rsidRPr="005F46F8">
        <w:rPr>
          <w:rFonts w:ascii="Times New Roman" w:hAnsi="Times New Roman" w:cs="Times New Roman"/>
          <w:color w:val="000000"/>
          <w:lang w:val="en-US"/>
        </w:rPr>
        <w:t xml:space="preserve">, des </w:t>
      </w: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compétences</w:t>
      </w:r>
      <w:proofErr w:type="spellEnd"/>
      <w:r w:rsidRPr="005F46F8">
        <w:rPr>
          <w:rFonts w:ascii="Times New Roman" w:hAnsi="Times New Roman" w:cs="Times New Roman"/>
          <w:color w:val="000000"/>
          <w:lang w:val="en-US"/>
        </w:rPr>
        <w:t xml:space="preserve"> de vie: </w:t>
      </w:r>
      <w:r w:rsidR="00DF17BC">
        <w:rPr>
          <w:rFonts w:ascii="Times New Roman" w:hAnsi="Times New Roman" w:cs="Times New Roman"/>
          <w:color w:val="000000"/>
          <w:lang w:val="en-US"/>
        </w:rPr>
        <w:t>E</w:t>
      </w:r>
      <w:r w:rsidRPr="005F46F8">
        <w:rPr>
          <w:rFonts w:ascii="Times New Roman" w:hAnsi="Times New Roman" w:cs="Times New Roman"/>
          <w:color w:val="000000"/>
          <w:lang w:val="en-US"/>
        </w:rPr>
        <w:t xml:space="preserve">ntretien avec Michel </w:t>
      </w:r>
      <w:proofErr w:type="spellStart"/>
      <w:r w:rsidRPr="005F46F8">
        <w:rPr>
          <w:rFonts w:ascii="Times New Roman" w:hAnsi="Times New Roman" w:cs="Times New Roman"/>
          <w:color w:val="000000"/>
          <w:lang w:val="en-US"/>
        </w:rPr>
        <w:t>Develay</w:t>
      </w:r>
      <w:proofErr w:type="spellEnd"/>
      <w:r>
        <w:rPr>
          <w:rFonts w:ascii="Times New Roman" w:hAnsi="Times New Roman" w:cs="Times New Roman"/>
          <w:color w:val="000000"/>
          <w:lang w:val="en-US"/>
        </w:rPr>
        <w:t xml:space="preserve"> [</w:t>
      </w:r>
      <w:r w:rsidR="006415B3">
        <w:rPr>
          <w:rFonts w:ascii="Times New Roman" w:hAnsi="Times New Roman" w:cs="Times New Roman"/>
          <w:color w:val="000000"/>
          <w:lang w:val="en-US"/>
        </w:rPr>
        <w:t>T</w:t>
      </w:r>
      <w:r>
        <w:rPr>
          <w:rFonts w:ascii="Times New Roman" w:hAnsi="Times New Roman" w:cs="Times New Roman"/>
          <w:color w:val="000000"/>
          <w:lang w:val="en-US"/>
        </w:rPr>
        <w:t xml:space="preserve">ransversal </w:t>
      </w:r>
      <w:r w:rsidR="006415B3">
        <w:rPr>
          <w:rFonts w:ascii="Times New Roman" w:hAnsi="Times New Roman" w:cs="Times New Roman"/>
          <w:color w:val="000000"/>
          <w:lang w:val="en-US"/>
        </w:rPr>
        <w:t>skills</w:t>
      </w:r>
      <w:r>
        <w:rPr>
          <w:rFonts w:ascii="Times New Roman" w:hAnsi="Times New Roman" w:cs="Times New Roman"/>
          <w:color w:val="000000"/>
          <w:lang w:val="en-US"/>
        </w:rPr>
        <w:t>, life-</w:t>
      </w:r>
      <w:r w:rsidR="006415B3">
        <w:rPr>
          <w:rFonts w:ascii="Times New Roman" w:hAnsi="Times New Roman" w:cs="Times New Roman"/>
          <w:color w:val="000000"/>
          <w:lang w:val="en-US"/>
        </w:rPr>
        <w:t>skills</w:t>
      </w:r>
      <w:r>
        <w:rPr>
          <w:rFonts w:ascii="Times New Roman" w:hAnsi="Times New Roman" w:cs="Times New Roman"/>
          <w:color w:val="000000"/>
          <w:lang w:val="en-US"/>
        </w:rPr>
        <w:t xml:space="preserve">: </w:t>
      </w:r>
      <w:r w:rsidR="00A758B6">
        <w:rPr>
          <w:rFonts w:ascii="Times New Roman" w:hAnsi="Times New Roman" w:cs="Times New Roman"/>
          <w:color w:val="000000"/>
          <w:lang w:val="en-US"/>
        </w:rPr>
        <w:t>I</w:t>
      </w:r>
      <w:r>
        <w:rPr>
          <w:rFonts w:ascii="Times New Roman" w:hAnsi="Times New Roman" w:cs="Times New Roman"/>
          <w:color w:val="000000"/>
          <w:lang w:val="en-US"/>
        </w:rPr>
        <w:t>nterview with Michel Develay]</w:t>
      </w:r>
      <w:r w:rsidRPr="005F46F8">
        <w:rPr>
          <w:rFonts w:ascii="Times New Roman" w:hAnsi="Times New Roman" w:cs="Times New Roman"/>
          <w:color w:val="000000"/>
          <w:lang w:val="en-US"/>
        </w:rPr>
        <w:t xml:space="preserve">. </w:t>
      </w:r>
      <w:r w:rsidRPr="005F46F8">
        <w:rPr>
          <w:rFonts w:ascii="Times New Roman" w:hAnsi="Times New Roman" w:cs="Times New Roman"/>
          <w:i/>
          <w:iCs/>
          <w:color w:val="000000"/>
          <w:lang w:val="en-US"/>
        </w:rPr>
        <w:t>Bulletin CIIP, 6</w:t>
      </w:r>
      <w:r w:rsidRPr="005F46F8">
        <w:rPr>
          <w:rFonts w:ascii="Times New Roman" w:hAnsi="Times New Roman" w:cs="Times New Roman"/>
          <w:color w:val="000000"/>
          <w:lang w:val="en-US"/>
        </w:rPr>
        <w:t xml:space="preserve">, 6-9. </w:t>
      </w:r>
    </w:p>
    <w:p w14:paraId="1D6519E7" w14:textId="22E68C20" w:rsidR="00BA245F" w:rsidRPr="005F46F8" w:rsidRDefault="00574835" w:rsidP="0057483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Dodd, V., Hooley, T., &amp; Burke, C. (2022). </w:t>
      </w:r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Increasing students’ career readiness through career guidance: Measuring the impact with a validated measure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. </w:t>
      </w:r>
      <w:r w:rsidR="00BA245F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 xml:space="preserve">British </w:t>
      </w:r>
      <w:r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 xml:space="preserve">Journal of </w:t>
      </w:r>
      <w:r w:rsidR="00BA245F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Guidance &amp; Counselling, 50</w:t>
      </w:r>
      <w:r w:rsidR="00BA245F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(2), 260-272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. </w:t>
      </w:r>
      <w:hyperlink r:id="rId6" w:history="1">
        <w:r w:rsidR="00BA245F" w:rsidRPr="005F46F8">
          <w:rPr>
            <w:rStyle w:val="Lienhypertexte"/>
            <w:lang w:val="en-US"/>
          </w:rPr>
          <w:t>https://doi.org/10.1080/03069885.2021.1937515</w:t>
        </w:r>
      </w:hyperlink>
    </w:p>
    <w:p w14:paraId="46D2B292" w14:textId="77777777" w:rsidR="00710333" w:rsidRPr="00710333" w:rsidRDefault="00710333" w:rsidP="00B93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  <w:proofErr w:type="spellStart"/>
      <w:r w:rsidRPr="00710333">
        <w:rPr>
          <w:rFonts w:ascii="Times New Roman" w:hAnsi="Times New Roman" w:cs="Times New Roman"/>
          <w:color w:val="000000"/>
        </w:rPr>
        <w:t>European</w:t>
      </w:r>
      <w:proofErr w:type="spellEnd"/>
      <w:r w:rsidRPr="00710333">
        <w:rPr>
          <w:rFonts w:ascii="Times New Roman" w:hAnsi="Times New Roman" w:cs="Times New Roman"/>
          <w:color w:val="000000"/>
        </w:rPr>
        <w:t xml:space="preserve"> Commission. (2019). </w:t>
      </w:r>
      <w:r w:rsidRPr="00710333">
        <w:rPr>
          <w:rFonts w:ascii="Times New Roman" w:hAnsi="Times New Roman" w:cs="Times New Roman"/>
          <w:i/>
          <w:iCs/>
          <w:color w:val="000000"/>
        </w:rPr>
        <w:t xml:space="preserve">Key </w:t>
      </w:r>
      <w:proofErr w:type="spellStart"/>
      <w:r w:rsidRPr="00710333">
        <w:rPr>
          <w:rFonts w:ascii="Times New Roman" w:hAnsi="Times New Roman" w:cs="Times New Roman"/>
          <w:i/>
          <w:iCs/>
          <w:color w:val="000000"/>
        </w:rPr>
        <w:t>competences</w:t>
      </w:r>
      <w:proofErr w:type="spellEnd"/>
      <w:r w:rsidRPr="00710333">
        <w:rPr>
          <w:rFonts w:ascii="Times New Roman" w:hAnsi="Times New Roman" w:cs="Times New Roman"/>
          <w:i/>
          <w:iCs/>
          <w:color w:val="000000"/>
        </w:rPr>
        <w:t xml:space="preserve"> for </w:t>
      </w:r>
      <w:proofErr w:type="spellStart"/>
      <w:r w:rsidRPr="00710333">
        <w:rPr>
          <w:rFonts w:ascii="Times New Roman" w:hAnsi="Times New Roman" w:cs="Times New Roman"/>
          <w:i/>
          <w:iCs/>
          <w:color w:val="000000"/>
        </w:rPr>
        <w:t>lifelong</w:t>
      </w:r>
      <w:proofErr w:type="spellEnd"/>
      <w:r w:rsidRPr="00710333">
        <w:rPr>
          <w:rFonts w:ascii="Times New Roman" w:hAnsi="Times New Roman" w:cs="Times New Roman"/>
          <w:i/>
          <w:iCs/>
          <w:color w:val="000000"/>
        </w:rPr>
        <w:t xml:space="preserve"> </w:t>
      </w:r>
      <w:proofErr w:type="spellStart"/>
      <w:r w:rsidRPr="00710333">
        <w:rPr>
          <w:rFonts w:ascii="Times New Roman" w:hAnsi="Times New Roman" w:cs="Times New Roman"/>
          <w:i/>
          <w:iCs/>
          <w:color w:val="000000"/>
        </w:rPr>
        <w:t>learning</w:t>
      </w:r>
      <w:proofErr w:type="spellEnd"/>
      <w:r w:rsidRPr="00710333">
        <w:rPr>
          <w:rFonts w:ascii="Times New Roman" w:hAnsi="Times New Roman" w:cs="Times New Roman"/>
          <w:i/>
          <w:iCs/>
          <w:color w:val="000000"/>
        </w:rPr>
        <w:t xml:space="preserve">. </w:t>
      </w:r>
      <w:r w:rsidRPr="00710333">
        <w:rPr>
          <w:rFonts w:ascii="Times New Roman" w:hAnsi="Times New Roman" w:cs="Times New Roman"/>
          <w:color w:val="000000"/>
        </w:rPr>
        <w:t xml:space="preserve">Publications Office of the </w:t>
      </w:r>
      <w:proofErr w:type="spellStart"/>
      <w:r w:rsidRPr="00710333">
        <w:rPr>
          <w:rFonts w:ascii="Times New Roman" w:hAnsi="Times New Roman" w:cs="Times New Roman"/>
          <w:color w:val="000000"/>
        </w:rPr>
        <w:t>European</w:t>
      </w:r>
      <w:proofErr w:type="spellEnd"/>
      <w:r w:rsidRPr="00710333">
        <w:rPr>
          <w:rFonts w:ascii="Times New Roman" w:hAnsi="Times New Roman" w:cs="Times New Roman"/>
          <w:color w:val="000000"/>
        </w:rPr>
        <w:t xml:space="preserve"> Union. </w:t>
      </w:r>
      <w:r w:rsidRPr="00710333">
        <w:rPr>
          <w:rStyle w:val="A13"/>
          <w:rFonts w:ascii="Times New Roman" w:hAnsi="Times New Roman" w:cs="Times New Roman"/>
          <w:sz w:val="24"/>
          <w:szCs w:val="24"/>
        </w:rPr>
        <w:t>https://op.europa.eu/en/publication-detail/-/publication/297a33c8-a1f3-11e9-9d01-01aa75ed71a1/language-en</w:t>
      </w:r>
      <w:r w:rsidRPr="00710333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</w:t>
      </w:r>
    </w:p>
    <w:p w14:paraId="156DDB58" w14:textId="77777777" w:rsidR="00710333" w:rsidRDefault="00710333" w:rsidP="00B93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14:paraId="53D52B3D" w14:textId="1C196614" w:rsidR="00B93F79" w:rsidRDefault="00574835" w:rsidP="00B93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proofErr w:type="spellStart"/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Gaudron</w:t>
      </w:r>
      <w:proofErr w:type="spellEnd"/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, J.P. (2013). </w:t>
      </w:r>
      <w:r w:rsidR="00B93F79" w:rsidRPr="005F46F8">
        <w:rPr>
          <w:rFonts w:ascii="Times New Roman" w:hAnsi="Times New Roman" w:cs="Times New Roman"/>
          <w:color w:val="000000" w:themeColor="text1"/>
          <w:kern w:val="0"/>
          <w:lang w:val="en-US"/>
        </w:rPr>
        <w:t>The Career Decision Self-Efficacy Scale-Short Form: A French adaptation of for high school students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. </w:t>
      </w:r>
      <w:proofErr w:type="spellStart"/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L’orientation</w:t>
      </w:r>
      <w:proofErr w:type="spellEnd"/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 xml:space="preserve"> </w:t>
      </w:r>
      <w:proofErr w:type="spellStart"/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scolaire</w:t>
      </w:r>
      <w:proofErr w:type="spellEnd"/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 xml:space="preserve"> et </w:t>
      </w:r>
      <w:proofErr w:type="spellStart"/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professionnel</w:t>
      </w:r>
      <w:proofErr w:type="spellEnd"/>
      <w:r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 xml:space="preserve">, </w:t>
      </w:r>
      <w:r w:rsidR="00B93F79" w:rsidRPr="005F46F8">
        <w:rPr>
          <w:rFonts w:ascii="Times New Roman" w:eastAsia="Times New Roman" w:hAnsi="Times New Roman" w:cs="Times New Roman"/>
          <w:i/>
          <w:iCs/>
          <w:kern w:val="0"/>
          <w:lang w:val="en-US" w:eastAsia="fr-FR"/>
          <w14:ligatures w14:val="none"/>
        </w:rPr>
        <w:t>42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(</w:t>
      </w:r>
      <w:r w:rsidR="00B93F79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2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), </w:t>
      </w:r>
      <w:r w:rsidR="00B93F79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1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–</w:t>
      </w:r>
      <w:r w:rsidR="00B93F79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19</w:t>
      </w:r>
      <w:r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>.</w:t>
      </w:r>
      <w:r w:rsidR="00B93F79" w:rsidRPr="005F46F8"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  <w:t xml:space="preserve"> </w:t>
      </w:r>
      <w:hyperlink r:id="rId7" w:history="1">
        <w:r w:rsidR="00B93F79" w:rsidRPr="005F46F8">
          <w:rPr>
            <w:rStyle w:val="Lienhypertexte"/>
            <w:rFonts w:ascii="Times New Roman" w:hAnsi="Times New Roman" w:cs="Times New Roman"/>
            <w:kern w:val="0"/>
            <w:lang w:val="en-US"/>
          </w:rPr>
          <w:t>https://doi.org/10.4000/osp.4108</w:t>
        </w:r>
      </w:hyperlink>
      <w:r w:rsidR="00B93F79" w:rsidRPr="005F46F8">
        <w:rPr>
          <w:rFonts w:ascii="Times New Roman" w:hAnsi="Times New Roman" w:cs="Times New Roman"/>
          <w:kern w:val="0"/>
          <w:lang w:val="en-US"/>
        </w:rPr>
        <w:t xml:space="preserve"> </w:t>
      </w:r>
    </w:p>
    <w:p w14:paraId="46BB28F5" w14:textId="77777777" w:rsidR="0024728F" w:rsidRDefault="0024728F" w:rsidP="00B93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6766C1B2" w14:textId="705EC21E" w:rsidR="0046416D" w:rsidRDefault="0046416D" w:rsidP="00B93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>
        <w:rPr>
          <w:rFonts w:ascii="Times New Roman" w:hAnsi="Times New Roman" w:cs="Times New Roman"/>
          <w:kern w:val="0"/>
          <w:lang w:val="en-US"/>
        </w:rPr>
        <w:t>Morizot, J., &amp; Miranda, D. (2007)</w:t>
      </w:r>
      <w:r w:rsidR="00C6732E">
        <w:rPr>
          <w:rFonts w:ascii="Times New Roman" w:hAnsi="Times New Roman" w:cs="Times New Roman"/>
          <w:kern w:val="0"/>
          <w:lang w:val="en-US"/>
        </w:rPr>
        <w:t xml:space="preserve">. </w:t>
      </w:r>
      <w:proofErr w:type="spellStart"/>
      <w:r w:rsidR="00C6732E">
        <w:rPr>
          <w:rFonts w:ascii="Times New Roman" w:hAnsi="Times New Roman" w:cs="Times New Roman"/>
          <w:kern w:val="0"/>
          <w:lang w:val="en-US"/>
        </w:rPr>
        <w:t>Approche</w:t>
      </w:r>
      <w:proofErr w:type="spellEnd"/>
      <w:r w:rsidR="00C6732E">
        <w:rPr>
          <w:rFonts w:ascii="Times New Roman" w:hAnsi="Times New Roman" w:cs="Times New Roman"/>
          <w:kern w:val="0"/>
          <w:lang w:val="en-US"/>
        </w:rPr>
        <w:t xml:space="preserve"> des traits de </w:t>
      </w:r>
      <w:proofErr w:type="spellStart"/>
      <w:r w:rsidR="00C6732E">
        <w:rPr>
          <w:rFonts w:ascii="Times New Roman" w:hAnsi="Times New Roman" w:cs="Times New Roman"/>
          <w:kern w:val="0"/>
          <w:lang w:val="en-US"/>
        </w:rPr>
        <w:t>personnalité</w:t>
      </w:r>
      <w:proofErr w:type="spellEnd"/>
      <w:r w:rsidR="00C6732E">
        <w:rPr>
          <w:rFonts w:ascii="Times New Roman" w:hAnsi="Times New Roman" w:cs="Times New Roman"/>
          <w:kern w:val="0"/>
          <w:lang w:val="en-US"/>
        </w:rPr>
        <w:t xml:space="preserve">: </w:t>
      </w:r>
      <w:proofErr w:type="spellStart"/>
      <w:r w:rsidR="008F2E7F">
        <w:rPr>
          <w:rFonts w:ascii="Times New Roman" w:hAnsi="Times New Roman" w:cs="Times New Roman"/>
          <w:kern w:val="0"/>
          <w:lang w:val="en-US"/>
        </w:rPr>
        <w:t>P</w:t>
      </w:r>
      <w:r w:rsidR="00C6732E">
        <w:rPr>
          <w:rFonts w:ascii="Times New Roman" w:hAnsi="Times New Roman" w:cs="Times New Roman"/>
          <w:kern w:val="0"/>
          <w:lang w:val="en-US"/>
        </w:rPr>
        <w:t>ostulats</w:t>
      </w:r>
      <w:proofErr w:type="spellEnd"/>
      <w:r w:rsidR="00C6732E">
        <w:rPr>
          <w:rFonts w:ascii="Times New Roman" w:hAnsi="Times New Roman" w:cs="Times New Roman"/>
          <w:kern w:val="0"/>
          <w:lang w:val="en-US"/>
        </w:rPr>
        <w:t xml:space="preserve">, controverses et </w:t>
      </w:r>
      <w:proofErr w:type="spellStart"/>
      <w:r w:rsidR="00C6732E">
        <w:rPr>
          <w:rFonts w:ascii="Times New Roman" w:hAnsi="Times New Roman" w:cs="Times New Roman"/>
          <w:kern w:val="0"/>
          <w:lang w:val="en-US"/>
        </w:rPr>
        <w:t>progres</w:t>
      </w:r>
      <w:proofErr w:type="spellEnd"/>
      <w:r w:rsidR="00C6732E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="00C6732E">
        <w:rPr>
          <w:rFonts w:ascii="Times New Roman" w:hAnsi="Times New Roman" w:cs="Times New Roman"/>
          <w:kern w:val="0"/>
          <w:lang w:val="en-US"/>
        </w:rPr>
        <w:t>réce</w:t>
      </w:r>
      <w:r w:rsidR="00632CF7">
        <w:rPr>
          <w:rFonts w:ascii="Times New Roman" w:hAnsi="Times New Roman" w:cs="Times New Roman"/>
          <w:kern w:val="0"/>
          <w:lang w:val="en-US"/>
        </w:rPr>
        <w:t>n</w:t>
      </w:r>
      <w:r w:rsidR="00C6732E">
        <w:rPr>
          <w:rFonts w:ascii="Times New Roman" w:hAnsi="Times New Roman" w:cs="Times New Roman"/>
          <w:kern w:val="0"/>
          <w:lang w:val="en-US"/>
        </w:rPr>
        <w:t>ts</w:t>
      </w:r>
      <w:proofErr w:type="spellEnd"/>
      <w:r w:rsidR="008F2E7F">
        <w:rPr>
          <w:rFonts w:ascii="Times New Roman" w:hAnsi="Times New Roman" w:cs="Times New Roman"/>
          <w:kern w:val="0"/>
          <w:lang w:val="en-US"/>
        </w:rPr>
        <w:t xml:space="preserve"> [An approach to personality traits: Assumptions, controversies and recent advances]</w:t>
      </w:r>
      <w:r w:rsidR="00632CF7">
        <w:rPr>
          <w:rFonts w:ascii="Times New Roman" w:hAnsi="Times New Roman" w:cs="Times New Roman"/>
          <w:kern w:val="0"/>
          <w:lang w:val="en-US"/>
        </w:rPr>
        <w:t xml:space="preserve">. </w:t>
      </w:r>
      <w:r w:rsidR="00632CF7">
        <w:rPr>
          <w:rFonts w:ascii="Times New Roman" w:hAnsi="Times New Roman" w:cs="Times New Roman"/>
          <w:i/>
          <w:iCs/>
          <w:kern w:val="0"/>
          <w:lang w:val="en-US"/>
        </w:rPr>
        <w:t xml:space="preserve">Revue de </w:t>
      </w:r>
      <w:proofErr w:type="spellStart"/>
      <w:r w:rsidR="00632CF7">
        <w:rPr>
          <w:rFonts w:ascii="Times New Roman" w:hAnsi="Times New Roman" w:cs="Times New Roman"/>
          <w:i/>
          <w:iCs/>
          <w:kern w:val="0"/>
          <w:lang w:val="en-US"/>
        </w:rPr>
        <w:t>Psychoéducation</w:t>
      </w:r>
      <w:proofErr w:type="spellEnd"/>
      <w:r w:rsidR="00632CF7">
        <w:rPr>
          <w:rFonts w:ascii="Times New Roman" w:hAnsi="Times New Roman" w:cs="Times New Roman"/>
          <w:i/>
          <w:iCs/>
          <w:kern w:val="0"/>
          <w:lang w:val="en-US"/>
        </w:rPr>
        <w:t>, 36</w:t>
      </w:r>
      <w:r w:rsidR="00632CF7">
        <w:rPr>
          <w:rFonts w:ascii="Times New Roman" w:hAnsi="Times New Roman" w:cs="Times New Roman"/>
          <w:kern w:val="0"/>
          <w:lang w:val="en-US"/>
        </w:rPr>
        <w:t xml:space="preserve">(2), </w:t>
      </w:r>
      <w:r w:rsidR="000163A8">
        <w:rPr>
          <w:rFonts w:ascii="Times New Roman" w:hAnsi="Times New Roman" w:cs="Times New Roman"/>
          <w:kern w:val="0"/>
          <w:lang w:val="en-US"/>
        </w:rPr>
        <w:t>262-419.</w:t>
      </w:r>
      <w:r w:rsidR="00036F8B">
        <w:rPr>
          <w:rFonts w:ascii="Times New Roman" w:hAnsi="Times New Roman" w:cs="Times New Roman"/>
          <w:kern w:val="0"/>
          <w:lang w:val="en-US"/>
        </w:rPr>
        <w:t xml:space="preserve"> </w:t>
      </w:r>
      <w:hyperlink r:id="rId8" w:history="1">
        <w:r w:rsidR="00036F8B" w:rsidRPr="008C744F">
          <w:rPr>
            <w:rStyle w:val="Lienhypertexte"/>
            <w:rFonts w:ascii="Times New Roman" w:hAnsi="Times New Roman" w:cs="Times New Roman"/>
            <w:kern w:val="0"/>
            <w:lang w:val="en-US"/>
          </w:rPr>
          <w:t>https://doi.org/10.7202/1097129ar</w:t>
        </w:r>
      </w:hyperlink>
      <w:r w:rsidR="00036F8B">
        <w:rPr>
          <w:rFonts w:ascii="Times New Roman" w:hAnsi="Times New Roman" w:cs="Times New Roman"/>
          <w:kern w:val="0"/>
          <w:lang w:val="en-US"/>
        </w:rPr>
        <w:t xml:space="preserve"> </w:t>
      </w:r>
    </w:p>
    <w:p w14:paraId="21C43A5E" w14:textId="77777777" w:rsidR="00DF17BC" w:rsidRDefault="00DF17BC" w:rsidP="00B93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31745476" w14:textId="77777777" w:rsidR="00D60396" w:rsidRDefault="00DF17BC" w:rsidP="00B93F79">
      <w:pPr>
        <w:autoSpaceDE w:val="0"/>
        <w:autoSpaceDN w:val="0"/>
        <w:adjustRightInd w:val="0"/>
        <w:spacing w:after="0" w:line="240" w:lineRule="auto"/>
        <w:rPr>
          <w:rStyle w:val="A13"/>
        </w:rPr>
      </w:pPr>
      <w:r>
        <w:rPr>
          <w:rFonts w:ascii="Times New Roman" w:hAnsi="Times New Roman" w:cs="Times New Roman"/>
          <w:kern w:val="0"/>
          <w:lang w:val="en-US"/>
        </w:rPr>
        <w:t xml:space="preserve">OECD (2023). </w:t>
      </w:r>
      <w:r w:rsidRPr="00D60396">
        <w:rPr>
          <w:rFonts w:ascii="Times New Roman" w:hAnsi="Times New Roman" w:cs="Times New Roman"/>
          <w:i/>
          <w:iCs/>
          <w:kern w:val="0"/>
          <w:lang w:val="en-US"/>
        </w:rPr>
        <w:t>OECD future of education and skills 2030: Learning compass 2030</w:t>
      </w:r>
      <w:r w:rsidR="00D60396" w:rsidRPr="00D60396">
        <w:rPr>
          <w:rFonts w:ascii="Times New Roman" w:hAnsi="Times New Roman" w:cs="Times New Roman"/>
          <w:i/>
          <w:iCs/>
          <w:kern w:val="0"/>
          <w:lang w:val="en-US"/>
        </w:rPr>
        <w:t>.</w:t>
      </w:r>
      <w:r w:rsidRPr="00D60396">
        <w:rPr>
          <w:rFonts w:ascii="Times New Roman" w:hAnsi="Times New Roman" w:cs="Times New Roman"/>
          <w:i/>
          <w:iCs/>
          <w:kern w:val="0"/>
          <w:lang w:val="en-US"/>
        </w:rPr>
        <w:t xml:space="preserve"> Concept</w:t>
      </w:r>
      <w:r w:rsidR="00D60396" w:rsidRPr="00D60396">
        <w:rPr>
          <w:rFonts w:ascii="Times New Roman" w:hAnsi="Times New Roman" w:cs="Times New Roman"/>
          <w:i/>
          <w:iCs/>
          <w:kern w:val="0"/>
          <w:lang w:val="en-US"/>
        </w:rPr>
        <w:t xml:space="preserve"> note series.</w:t>
      </w:r>
      <w:r w:rsidR="00D60396">
        <w:rPr>
          <w:rFonts w:ascii="Times New Roman" w:hAnsi="Times New Roman" w:cs="Times New Roman"/>
          <w:kern w:val="0"/>
          <w:lang w:val="en-US"/>
        </w:rPr>
        <w:t xml:space="preserve"> OECD</w:t>
      </w:r>
      <w:r w:rsidR="00D60396">
        <w:rPr>
          <w:rFonts w:cs="Frutiger Neue LT Pro Light"/>
          <w:color w:val="000000"/>
          <w:sz w:val="18"/>
          <w:szCs w:val="18"/>
        </w:rPr>
        <w:t>.</w:t>
      </w:r>
      <w:r>
        <w:rPr>
          <w:rFonts w:cs="Frutiger Neue LT Pro Light"/>
          <w:color w:val="000000"/>
          <w:sz w:val="18"/>
          <w:szCs w:val="18"/>
        </w:rPr>
        <w:t xml:space="preserve"> </w:t>
      </w:r>
      <w:proofErr w:type="gramStart"/>
      <w:r w:rsidRPr="00D60396">
        <w:rPr>
          <w:rStyle w:val="A13"/>
          <w:sz w:val="24"/>
          <w:szCs w:val="24"/>
        </w:rPr>
        <w:t>https</w:t>
      </w:r>
      <w:proofErr w:type="gramEnd"/>
      <w:r w:rsidRPr="00D60396">
        <w:rPr>
          <w:rStyle w:val="A13"/>
          <w:sz w:val="24"/>
          <w:szCs w:val="24"/>
        </w:rPr>
        <w:t>:// issuu.com/oecd.publishing/docs/e2030-learning_compass_2030-concept_</w:t>
      </w:r>
      <w:proofErr w:type="gramStart"/>
      <w:r w:rsidRPr="00D60396">
        <w:rPr>
          <w:rStyle w:val="A13"/>
          <w:sz w:val="24"/>
          <w:szCs w:val="24"/>
        </w:rPr>
        <w:t>notes?</w:t>
      </w:r>
      <w:proofErr w:type="gramEnd"/>
      <w:r w:rsidRPr="00D60396">
        <w:rPr>
          <w:rStyle w:val="A13"/>
          <w:sz w:val="24"/>
          <w:szCs w:val="24"/>
        </w:rPr>
        <w:t>fr=xKAE9_zU1NQ</w:t>
      </w:r>
      <w:r>
        <w:rPr>
          <w:rStyle w:val="A13"/>
        </w:rPr>
        <w:t xml:space="preserve"> </w:t>
      </w:r>
    </w:p>
    <w:p w14:paraId="5D764832" w14:textId="77777777" w:rsidR="00D60396" w:rsidRDefault="00D60396" w:rsidP="00B93F79">
      <w:pPr>
        <w:autoSpaceDE w:val="0"/>
        <w:autoSpaceDN w:val="0"/>
        <w:adjustRightInd w:val="0"/>
        <w:spacing w:after="0" w:line="240" w:lineRule="auto"/>
        <w:rPr>
          <w:rStyle w:val="A13"/>
        </w:rPr>
      </w:pPr>
    </w:p>
    <w:p w14:paraId="01F68700" w14:textId="56D8FD32" w:rsidR="0024728F" w:rsidRPr="00D60396" w:rsidRDefault="0024728F" w:rsidP="00B93F79">
      <w:pPr>
        <w:autoSpaceDE w:val="0"/>
        <w:autoSpaceDN w:val="0"/>
        <w:adjustRightInd w:val="0"/>
        <w:spacing w:after="0" w:line="240" w:lineRule="auto"/>
        <w:rPr>
          <w:rFonts w:cs="Frutiger Neue LT Pro Light"/>
          <w:color w:val="000000"/>
          <w:sz w:val="18"/>
          <w:szCs w:val="18"/>
        </w:rPr>
      </w:pPr>
      <w:r>
        <w:rPr>
          <w:rFonts w:ascii="Times New Roman" w:hAnsi="Times New Roman" w:cs="Times New Roman"/>
          <w:kern w:val="0"/>
          <w:lang w:val="en-US"/>
        </w:rPr>
        <w:t xml:space="preserve">Tardif, J. (2006)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L’évaluation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des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compétences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: documenter le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parcours</w:t>
      </w:r>
      <w:proofErr w:type="spellEnd"/>
      <w:r>
        <w:rPr>
          <w:rFonts w:ascii="Times New Roman" w:hAnsi="Times New Roman" w:cs="Times New Roman"/>
          <w:i/>
          <w:iCs/>
          <w:kern w:val="0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kern w:val="0"/>
          <w:lang w:val="en-US"/>
        </w:rPr>
        <w:t>développement</w:t>
      </w:r>
      <w:proofErr w:type="spellEnd"/>
      <w:r w:rsidR="003019DB">
        <w:rPr>
          <w:rFonts w:ascii="Times New Roman" w:hAnsi="Times New Roman" w:cs="Times New Roman"/>
          <w:i/>
          <w:iCs/>
          <w:kern w:val="0"/>
          <w:lang w:val="en-US"/>
        </w:rPr>
        <w:t xml:space="preserve"> </w:t>
      </w:r>
      <w:r w:rsidR="003019DB">
        <w:rPr>
          <w:rFonts w:ascii="Times New Roman" w:hAnsi="Times New Roman" w:cs="Times New Roman"/>
          <w:kern w:val="0"/>
          <w:lang w:val="en-US"/>
        </w:rPr>
        <w:t>[</w:t>
      </w:r>
      <w:r w:rsidR="007F51AB">
        <w:rPr>
          <w:rFonts w:ascii="Times New Roman" w:hAnsi="Times New Roman" w:cs="Times New Roman"/>
          <w:kern w:val="0"/>
          <w:lang w:val="en-US"/>
        </w:rPr>
        <w:t>Skills assessment</w:t>
      </w:r>
      <w:r w:rsidR="003019DB">
        <w:rPr>
          <w:rFonts w:ascii="Times New Roman" w:hAnsi="Times New Roman" w:cs="Times New Roman"/>
          <w:kern w:val="0"/>
          <w:lang w:val="en-US"/>
        </w:rPr>
        <w:t xml:space="preserve">: </w:t>
      </w:r>
      <w:r w:rsidR="007F51AB">
        <w:rPr>
          <w:rFonts w:ascii="Times New Roman" w:hAnsi="Times New Roman" w:cs="Times New Roman"/>
          <w:kern w:val="0"/>
          <w:lang w:val="en-US"/>
        </w:rPr>
        <w:t>Documenting the development process</w:t>
      </w:r>
      <w:r w:rsidR="003019DB">
        <w:rPr>
          <w:rFonts w:ascii="Times New Roman" w:hAnsi="Times New Roman" w:cs="Times New Roman"/>
          <w:kern w:val="0"/>
          <w:lang w:val="en-US"/>
        </w:rPr>
        <w:t>].</w:t>
      </w:r>
      <w:r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lang w:val="en-US"/>
        </w:rPr>
        <w:t>Chenelière</w:t>
      </w:r>
      <w:proofErr w:type="spellEnd"/>
      <w:r w:rsidR="003019DB">
        <w:rPr>
          <w:rFonts w:ascii="Times New Roman" w:hAnsi="Times New Roman" w:cs="Times New Roman"/>
          <w:kern w:val="0"/>
          <w:lang w:val="en-US"/>
        </w:rPr>
        <w:t xml:space="preserve"> Éducation.</w:t>
      </w:r>
    </w:p>
    <w:p w14:paraId="7C71AAF7" w14:textId="77777777" w:rsidR="00B93F79" w:rsidRPr="005F46F8" w:rsidRDefault="00B93F79" w:rsidP="00B93F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fr-FR"/>
          <w14:ligatures w14:val="none"/>
        </w:rPr>
      </w:pPr>
    </w:p>
    <w:p w14:paraId="69255D3C" w14:textId="27381AC3" w:rsidR="0024728F" w:rsidRPr="005F46F8" w:rsidRDefault="0024728F" w:rsidP="00B93F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lang w:val="en-US"/>
        </w:rPr>
      </w:pPr>
    </w:p>
    <w:sectPr w:rsidR="0024728F" w:rsidRPr="005F4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utiger Neue LT Pro Book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Frutiger Neue LT Pro Light">
    <w:altName w:val="Frutiger Neue LT Pro Light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B35FE"/>
    <w:multiLevelType w:val="multilevel"/>
    <w:tmpl w:val="2296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1872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35"/>
    <w:rsid w:val="00013BB4"/>
    <w:rsid w:val="000163A8"/>
    <w:rsid w:val="00036F8B"/>
    <w:rsid w:val="000623A6"/>
    <w:rsid w:val="000E32AC"/>
    <w:rsid w:val="000F4BD2"/>
    <w:rsid w:val="00104138"/>
    <w:rsid w:val="001241A6"/>
    <w:rsid w:val="00182914"/>
    <w:rsid w:val="001921A9"/>
    <w:rsid w:val="001B4B0F"/>
    <w:rsid w:val="0022333E"/>
    <w:rsid w:val="0024728F"/>
    <w:rsid w:val="003019DB"/>
    <w:rsid w:val="00310E31"/>
    <w:rsid w:val="003B7175"/>
    <w:rsid w:val="00434653"/>
    <w:rsid w:val="004618B1"/>
    <w:rsid w:val="0046416D"/>
    <w:rsid w:val="00522294"/>
    <w:rsid w:val="00574835"/>
    <w:rsid w:val="0057724F"/>
    <w:rsid w:val="005903E4"/>
    <w:rsid w:val="005F46F8"/>
    <w:rsid w:val="006320DE"/>
    <w:rsid w:val="00632CF7"/>
    <w:rsid w:val="006415B3"/>
    <w:rsid w:val="00710333"/>
    <w:rsid w:val="00755590"/>
    <w:rsid w:val="00791739"/>
    <w:rsid w:val="007F51AB"/>
    <w:rsid w:val="008730D6"/>
    <w:rsid w:val="008F2E7F"/>
    <w:rsid w:val="009127F4"/>
    <w:rsid w:val="00A53924"/>
    <w:rsid w:val="00A758B6"/>
    <w:rsid w:val="00AF69A3"/>
    <w:rsid w:val="00B93F79"/>
    <w:rsid w:val="00BA245F"/>
    <w:rsid w:val="00C613DF"/>
    <w:rsid w:val="00C6732E"/>
    <w:rsid w:val="00C8131C"/>
    <w:rsid w:val="00C86D55"/>
    <w:rsid w:val="00CD2978"/>
    <w:rsid w:val="00D245A9"/>
    <w:rsid w:val="00D60396"/>
    <w:rsid w:val="00DF03F0"/>
    <w:rsid w:val="00DF17BC"/>
    <w:rsid w:val="00DF54CB"/>
    <w:rsid w:val="00EF1BE9"/>
    <w:rsid w:val="00EF386A"/>
    <w:rsid w:val="00F22BD9"/>
    <w:rsid w:val="00F955F6"/>
    <w:rsid w:val="00FC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5EDB50"/>
  <w15:chartTrackingRefBased/>
  <w15:docId w15:val="{442ED02C-0B6D-494E-A573-BF9D1F04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7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7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7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57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57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48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48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48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48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48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48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7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7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748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48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748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48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48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574835"/>
    <w:rPr>
      <w:b/>
      <w:bCs/>
    </w:rPr>
  </w:style>
  <w:style w:type="character" w:styleId="Accentuation">
    <w:name w:val="Emphasis"/>
    <w:basedOn w:val="Policepardfaut"/>
    <w:uiPriority w:val="20"/>
    <w:qFormat/>
    <w:rsid w:val="00574835"/>
    <w:rPr>
      <w:i/>
      <w:iCs/>
    </w:rPr>
  </w:style>
  <w:style w:type="character" w:styleId="Marquedecommentaire">
    <w:name w:val="annotation reference"/>
    <w:basedOn w:val="Policepardfaut"/>
    <w:uiPriority w:val="99"/>
    <w:semiHidden/>
    <w:unhideWhenUsed/>
    <w:rsid w:val="005748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7483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7483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48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4835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BA245F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3F7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82914"/>
    <w:pPr>
      <w:spacing w:after="0" w:line="240" w:lineRule="auto"/>
    </w:pPr>
  </w:style>
  <w:style w:type="character" w:customStyle="1" w:styleId="A13">
    <w:name w:val="A13"/>
    <w:uiPriority w:val="99"/>
    <w:rsid w:val="00DF17BC"/>
    <w:rPr>
      <w:rFonts w:ascii="Frutiger Neue LT Pro Book" w:hAnsi="Frutiger Neue LT Pro Book" w:cs="Frutiger Neue LT Pro Book"/>
      <w:color w:val="0000FF"/>
      <w:sz w:val="18"/>
      <w:szCs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7202/1097129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4000/osp.41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80/03069885.2021.1937515" TargetMode="External"/><Relationship Id="rId5" Type="http://schemas.openxmlformats.org/officeDocument/2006/relationships/hyperlink" Target="https://doi.org/10.1177/10690727960040010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909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Valbusa</dc:creator>
  <cp:keywords/>
  <dc:description/>
  <cp:lastModifiedBy>Jérôme Rossier</cp:lastModifiedBy>
  <cp:revision>47</cp:revision>
  <dcterms:created xsi:type="dcterms:W3CDTF">2026-04-13T16:16:00Z</dcterms:created>
  <dcterms:modified xsi:type="dcterms:W3CDTF">2026-04-16T19:30:00Z</dcterms:modified>
</cp:coreProperties>
</file>