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58677" w14:textId="77777777" w:rsidR="005D478A" w:rsidRPr="00A9456C" w:rsidRDefault="005D478A" w:rsidP="005D478A">
      <w:r w:rsidRPr="00A9456C">
        <w:rPr>
          <w:b/>
          <w:bCs/>
        </w:rPr>
        <w:t>Title:</w:t>
      </w:r>
      <w:r w:rsidRPr="00A9456C">
        <w:t xml:space="preserve"> Redesigning School-to-Work Transitions for All New Zealanders</w:t>
      </w:r>
    </w:p>
    <w:p w14:paraId="538442B2" w14:textId="77777777" w:rsidR="005D478A" w:rsidRPr="00A9456C" w:rsidRDefault="005D478A" w:rsidP="005D478A"/>
    <w:p w14:paraId="13FF7ABD" w14:textId="77777777" w:rsidR="005D478A" w:rsidRPr="00A9456C" w:rsidRDefault="005D478A" w:rsidP="005D478A">
      <w:r w:rsidRPr="00A9456C">
        <w:rPr>
          <w:b/>
          <w:bCs/>
        </w:rPr>
        <w:t>Conference Theme:</w:t>
      </w:r>
      <w:r w:rsidRPr="00A9456C">
        <w:t xml:space="preserve"> Navigating the Future with Best Practice </w:t>
      </w:r>
      <w:r w:rsidRPr="00A9456C">
        <w:rPr>
          <w:b/>
          <w:bCs/>
        </w:rPr>
        <w:t>Sub-theme:</w:t>
      </w:r>
      <w:r w:rsidRPr="00A9456C">
        <w:t xml:space="preserve"> </w:t>
      </w:r>
      <w:proofErr w:type="spellStart"/>
      <w:r w:rsidRPr="00A9456C">
        <w:t>Tupuānuku</w:t>
      </w:r>
      <w:proofErr w:type="spellEnd"/>
    </w:p>
    <w:p w14:paraId="4B14507E" w14:textId="77777777" w:rsidR="005D478A" w:rsidRPr="00A9456C" w:rsidRDefault="005D478A" w:rsidP="005D478A"/>
    <w:p w14:paraId="6560D593" w14:textId="77777777" w:rsidR="005D478A" w:rsidRDefault="005D478A" w:rsidP="005D478A">
      <w:r w:rsidRPr="00A9456C">
        <w:rPr>
          <w:b/>
          <w:bCs/>
        </w:rPr>
        <w:t>Presentation Language:</w:t>
      </w:r>
      <w:r w:rsidRPr="00A9456C">
        <w:t xml:space="preserve"> English </w:t>
      </w:r>
      <w:r w:rsidRPr="00A9456C">
        <w:rPr>
          <w:b/>
          <w:bCs/>
        </w:rPr>
        <w:t>Format:</w:t>
      </w:r>
      <w:r w:rsidRPr="00A9456C">
        <w:t xml:space="preserve"> Paper Session</w:t>
      </w:r>
    </w:p>
    <w:p w14:paraId="68219190" w14:textId="77777777" w:rsidR="0028784D" w:rsidRDefault="0028784D" w:rsidP="005D478A"/>
    <w:p w14:paraId="204307C1" w14:textId="77777777" w:rsidR="0028784D" w:rsidRDefault="0028784D" w:rsidP="0028784D">
      <w:r w:rsidRPr="00DB6C01">
        <w:rPr>
          <w:b/>
          <w:bCs/>
        </w:rPr>
        <w:t>Author</w:t>
      </w:r>
      <w:r>
        <w:t xml:space="preserve">: Josh Williams. Head of Consulting, Skills Group. </w:t>
      </w:r>
    </w:p>
    <w:p w14:paraId="468D463D" w14:textId="77777777" w:rsidR="0028784D" w:rsidRPr="00A9456C" w:rsidRDefault="0028784D" w:rsidP="0028784D">
      <w:r>
        <w:t>josh.williams@skills-group.org</w:t>
      </w:r>
    </w:p>
    <w:p w14:paraId="4F94F335" w14:textId="77777777" w:rsidR="0028784D" w:rsidRPr="00A9456C" w:rsidRDefault="0028784D" w:rsidP="005D478A"/>
    <w:p w14:paraId="4EEE6682" w14:textId="77777777" w:rsidR="005D478A" w:rsidRPr="00A9456C" w:rsidRDefault="00C80E3D" w:rsidP="005D478A">
      <w:r>
        <w:pict w14:anchorId="38D0E883">
          <v:rect id="_x0000_i1025" style="width:0;height:1.5pt" o:hralign="center" o:hrstd="t" o:hr="t" fillcolor="#a0a0a0" stroked="f"/>
        </w:pict>
      </w:r>
    </w:p>
    <w:p w14:paraId="2ADF579A" w14:textId="77777777" w:rsidR="005D478A" w:rsidRPr="00A9456C" w:rsidRDefault="005D478A" w:rsidP="005D478A">
      <w:pPr>
        <w:rPr>
          <w:b/>
          <w:bCs/>
        </w:rPr>
      </w:pPr>
      <w:r w:rsidRPr="00A9456C">
        <w:rPr>
          <w:b/>
          <w:bCs/>
        </w:rPr>
        <w:t>Abstract</w:t>
      </w:r>
    </w:p>
    <w:p w14:paraId="553088A2" w14:textId="77777777" w:rsidR="005D478A" w:rsidRPr="00A9456C" w:rsidRDefault="005D478A" w:rsidP="005D478A"/>
    <w:p w14:paraId="41F698F3" w14:textId="77777777" w:rsidR="005D478A" w:rsidRPr="00A9456C" w:rsidRDefault="005D478A" w:rsidP="005D478A">
      <w:r w:rsidRPr="00A9456C">
        <w:rPr>
          <w:b/>
          <w:bCs/>
        </w:rPr>
        <w:t>Introduction</w:t>
      </w:r>
    </w:p>
    <w:p w14:paraId="2C5683E9" w14:textId="77777777" w:rsidR="005D478A" w:rsidRPr="00A9456C" w:rsidRDefault="005D478A" w:rsidP="005D478A">
      <w:r w:rsidRPr="00A9456C">
        <w:t xml:space="preserve">New Zealand's education system effectively serves approximately 30% of students heading to university, while leaving the pathways unclear for the remaining 70%. This is not a people failure; it is a system delivery failure. Of approximately 60,000 school leavers each year, between 55% and 60% have no structured transition pathway, leaving them navigating a fragmented landscape of disconnected schemes without the guidance, credentials, or work-readiness to succeed. The concept of </w:t>
      </w:r>
      <w:proofErr w:type="spellStart"/>
      <w:r w:rsidRPr="00A9456C">
        <w:t>Tupuānuku</w:t>
      </w:r>
      <w:proofErr w:type="spellEnd"/>
      <w:r w:rsidRPr="00A9456C">
        <w:t>, growing from the ground up and flourishing where one is rooted, frames this paper's central argument: that a well-designed system must enable every young New Zealander to grow into meaningful work from within their own community, culture, and context.</w:t>
      </w:r>
    </w:p>
    <w:p w14:paraId="0E0F4F20" w14:textId="77777777" w:rsidR="005D478A" w:rsidRPr="00A9456C" w:rsidRDefault="005D478A" w:rsidP="005D478A">
      <w:pPr>
        <w:rPr>
          <w:b/>
          <w:bCs/>
        </w:rPr>
      </w:pPr>
    </w:p>
    <w:p w14:paraId="7C5B2B0E" w14:textId="77777777" w:rsidR="005D478A" w:rsidRPr="00A9456C" w:rsidRDefault="005D478A" w:rsidP="005D478A">
      <w:r w:rsidRPr="00A9456C">
        <w:rPr>
          <w:b/>
          <w:bCs/>
        </w:rPr>
        <w:t>Objectives</w:t>
      </w:r>
    </w:p>
    <w:p w14:paraId="508FAD46" w14:textId="77777777" w:rsidR="005D478A" w:rsidRPr="00A9456C" w:rsidRDefault="005D478A" w:rsidP="005D478A">
      <w:r w:rsidRPr="00A9456C">
        <w:t>Given the proposed secondary qualifications reforms, this paper is timely and aims to present options for the systemic redesign of school-to-work transitions in New Zealand, drawing on international best practice and domestic research. Specifically, it seeks to identify the structural barriers preventing equitable access to vocational pathways, examine what high-performing international systems do differently, and propose a principled framework for reform that centres equity, industry partnership, and genuine pathway plurality.</w:t>
      </w:r>
    </w:p>
    <w:p w14:paraId="32F73391" w14:textId="77777777" w:rsidR="005D478A" w:rsidRPr="00A9456C" w:rsidRDefault="005D478A" w:rsidP="005D478A">
      <w:pPr>
        <w:rPr>
          <w:b/>
          <w:bCs/>
        </w:rPr>
      </w:pPr>
    </w:p>
    <w:p w14:paraId="5082130C" w14:textId="77777777" w:rsidR="005D478A" w:rsidRPr="00A9456C" w:rsidRDefault="005D478A" w:rsidP="005D478A">
      <w:r w:rsidRPr="00A9456C">
        <w:rPr>
          <w:b/>
          <w:bCs/>
        </w:rPr>
        <w:t>Theoretical Basis</w:t>
      </w:r>
    </w:p>
    <w:p w14:paraId="2921973E" w14:textId="77777777" w:rsidR="005D478A" w:rsidRPr="00A9456C" w:rsidRDefault="005D478A" w:rsidP="005D478A">
      <w:r w:rsidRPr="00A9456C">
        <w:t xml:space="preserve">The paper is grounded in a multiple </w:t>
      </w:r>
      <w:proofErr w:type="gramStart"/>
      <w:r w:rsidRPr="00A9456C">
        <w:t>pathways</w:t>
      </w:r>
      <w:proofErr w:type="gramEnd"/>
      <w:r w:rsidRPr="00A9456C">
        <w:t xml:space="preserve"> paradigm, which challenges the persistent academic-vocational binary and positions all career routes as equally legitimate. It draws on capability theory and career construction theory to argue that effective transitions require structured exploration, not premature tracking. The equity framework applied throughout is one of design-first inclusion, where outcomes for Māori, Pasifika, neurodiverse, and regionally disadvantaged learners are built into system architecture rather than treated as supplementary concerns. International evidence from Scotland's post-GFC apprenticeship reforms, Australia's Vocational Education and Training in Schools programme, and the dual-education models of Germany and Switzerland provides the comparative foundation for this analysis.</w:t>
      </w:r>
    </w:p>
    <w:p w14:paraId="08B3DDE0" w14:textId="77777777" w:rsidR="005D478A" w:rsidRPr="00A9456C" w:rsidRDefault="005D478A" w:rsidP="005D478A">
      <w:pPr>
        <w:rPr>
          <w:b/>
          <w:bCs/>
        </w:rPr>
      </w:pPr>
    </w:p>
    <w:p w14:paraId="77537E43" w14:textId="77777777" w:rsidR="005D478A" w:rsidRPr="00A9456C" w:rsidRDefault="005D478A" w:rsidP="005D478A">
      <w:r w:rsidRPr="00A9456C">
        <w:rPr>
          <w:b/>
          <w:bCs/>
        </w:rPr>
        <w:t>Methodology</w:t>
      </w:r>
    </w:p>
    <w:p w14:paraId="591FD0C4" w14:textId="77777777" w:rsidR="005D478A" w:rsidRPr="00A9456C" w:rsidRDefault="005D478A" w:rsidP="005D478A">
      <w:r w:rsidRPr="00A9456C">
        <w:t xml:space="preserve">This paper draws on a mixed-methods research approach combining policy analysis, a literature review of international school-to-work transition systems, and qualitative data from interviews with secondary school principals, career development professionals, and education system specialists across New Zealand. Data </w:t>
      </w:r>
      <w:r w:rsidR="00A9456C" w:rsidRPr="00A9456C">
        <w:t>was</w:t>
      </w:r>
      <w:r w:rsidRPr="00A9456C">
        <w:t xml:space="preserve"> analysed thematically, with findings validated against longitudinal outcome data from existing programmes including Gateway and trades academies. Ministry of Education evaluation data </w:t>
      </w:r>
      <w:r w:rsidR="00A9456C" w:rsidRPr="00A9456C">
        <w:t>was</w:t>
      </w:r>
      <w:r w:rsidRPr="00A9456C">
        <w:t xml:space="preserve"> used to assess current programme reach and outcome equity.</w:t>
      </w:r>
    </w:p>
    <w:p w14:paraId="3498D5EE" w14:textId="77777777" w:rsidR="005D478A" w:rsidRPr="00A9456C" w:rsidRDefault="005D478A" w:rsidP="005D478A">
      <w:pPr>
        <w:rPr>
          <w:b/>
          <w:bCs/>
        </w:rPr>
      </w:pPr>
    </w:p>
    <w:p w14:paraId="6653E66C" w14:textId="77777777" w:rsidR="005D478A" w:rsidRPr="00A9456C" w:rsidRDefault="005D478A" w:rsidP="005D478A">
      <w:r w:rsidRPr="00A9456C">
        <w:rPr>
          <w:b/>
          <w:bCs/>
        </w:rPr>
        <w:t>Results</w:t>
      </w:r>
    </w:p>
    <w:p w14:paraId="3BBBAAB5" w14:textId="77777777" w:rsidR="005D478A" w:rsidRPr="00A9456C" w:rsidRDefault="005D478A" w:rsidP="005D478A">
      <w:r w:rsidRPr="00A9456C">
        <w:t>Key findings indicate that current programmes such as Gateway and trades academies demonstrate strong employment outcomes, including a 9% higher likelihood of sustained employment for participants, but reach too few students and remain marginalised within secondary schools. Dual enrolment legislation exists but is structurally undermined by funding models that penalise schools for part-time students. Internationally, successful systems share seven common features: parity of esteem for vocational pathways, early exploration opportunities from age 13 to 14, compulsory work-integrated learning, qualification articulation from school to post-school training, national coordination, industry leadership in content design, and funding that enables rather than discourages partnership. The paper proposes principles for a New Zealand system, alongside design options suited to different regional contexts.</w:t>
      </w:r>
    </w:p>
    <w:p w14:paraId="2990A3B1" w14:textId="77777777" w:rsidR="005D478A" w:rsidRPr="00A9456C" w:rsidRDefault="005D478A" w:rsidP="005D478A">
      <w:pPr>
        <w:rPr>
          <w:b/>
          <w:bCs/>
        </w:rPr>
      </w:pPr>
    </w:p>
    <w:p w14:paraId="2CE49126" w14:textId="77777777" w:rsidR="005D478A" w:rsidRPr="00A9456C" w:rsidRDefault="005D478A" w:rsidP="005D478A">
      <w:r w:rsidRPr="00A9456C">
        <w:rPr>
          <w:b/>
          <w:bCs/>
        </w:rPr>
        <w:t>Conclusions</w:t>
      </w:r>
    </w:p>
    <w:p w14:paraId="57A11C18" w14:textId="77777777" w:rsidR="005D478A" w:rsidRPr="00A9456C" w:rsidRDefault="005D478A" w:rsidP="005D478A">
      <w:r w:rsidRPr="00A9456C">
        <w:t>New Zealand must not repeat the experience of NCEA, where a sound qualification framework was introduced without the ecosystem of partnerships, funding reform, and professional development needed to make it function equitably. Redesigning school-to-work transitions requires confronting difficult questions about how schools are funded, how teachers are prepared, and what genuine industry partnership looks like. Every young New Zealander deserves a clear pathway to meaningful work. This paper offers a practical, evidence-based framework to begin building one.</w:t>
      </w:r>
    </w:p>
    <w:p w14:paraId="5ABFB4E3" w14:textId="77777777" w:rsidR="005D478A" w:rsidRPr="00A9456C" w:rsidRDefault="005D478A" w:rsidP="005D478A">
      <w:pPr>
        <w:rPr>
          <w:b/>
          <w:bCs/>
        </w:rPr>
      </w:pPr>
    </w:p>
    <w:p w14:paraId="078B3F16" w14:textId="77777777" w:rsidR="005D478A" w:rsidRPr="00A9456C" w:rsidRDefault="005D478A" w:rsidP="005D478A">
      <w:r w:rsidRPr="00A9456C">
        <w:rPr>
          <w:b/>
          <w:bCs/>
        </w:rPr>
        <w:t>Keywords:</w:t>
      </w:r>
      <w:r w:rsidRPr="00A9456C">
        <w:t xml:space="preserve"> school-to-work transitions, vocational pathways, career development, equity by design, New Zealand education</w:t>
      </w:r>
    </w:p>
    <w:p w14:paraId="03FFE193" w14:textId="77777777" w:rsidR="005D478A" w:rsidRPr="00A9456C" w:rsidRDefault="005D478A" w:rsidP="005D478A">
      <w:pPr>
        <w:rPr>
          <w:b/>
          <w:bCs/>
        </w:rPr>
      </w:pPr>
    </w:p>
    <w:p w14:paraId="0A7D68D2" w14:textId="77777777" w:rsidR="005D478A" w:rsidRPr="00A9456C" w:rsidRDefault="005D478A" w:rsidP="005D478A">
      <w:pPr>
        <w:rPr>
          <w:b/>
          <w:bCs/>
        </w:rPr>
      </w:pPr>
      <w:r w:rsidRPr="00A9456C">
        <w:rPr>
          <w:b/>
          <w:bCs/>
        </w:rPr>
        <w:t>Bibliographical References</w:t>
      </w:r>
    </w:p>
    <w:p w14:paraId="082AFE69" w14:textId="77777777" w:rsidR="005D478A" w:rsidRPr="00A9456C" w:rsidRDefault="005D478A" w:rsidP="005D478A">
      <w:pPr>
        <w:spacing w:line="360" w:lineRule="auto"/>
        <w:rPr>
          <w:rFonts w:cs="Times New Roman (Body CS)"/>
          <w:color w:val="000000" w:themeColor="text1"/>
        </w:rPr>
      </w:pPr>
      <w:r w:rsidRPr="00A9456C">
        <w:rPr>
          <w:rFonts w:cs="Times New Roman (Body CS)"/>
          <w:color w:val="000000" w:themeColor="text1"/>
        </w:rPr>
        <w:t xml:space="preserve">BERL. (2024, December). </w:t>
      </w:r>
      <w:r w:rsidRPr="00A9456C">
        <w:rPr>
          <w:rFonts w:cs="Times New Roman (Body CS)"/>
          <w:i/>
          <w:iCs/>
          <w:color w:val="000000" w:themeColor="text1"/>
        </w:rPr>
        <w:t xml:space="preserve">Youth and young adults: </w:t>
      </w:r>
      <w:proofErr w:type="gramStart"/>
      <w:r w:rsidRPr="00A9456C">
        <w:rPr>
          <w:rFonts w:cs="Times New Roman (Body CS)"/>
          <w:i/>
          <w:iCs/>
          <w:color w:val="000000" w:themeColor="text1"/>
        </w:rPr>
        <w:t>Where</w:t>
      </w:r>
      <w:proofErr w:type="gramEnd"/>
      <w:r w:rsidRPr="00A9456C">
        <w:rPr>
          <w:rFonts w:cs="Times New Roman (Body CS)"/>
          <w:i/>
          <w:iCs/>
          <w:color w:val="000000" w:themeColor="text1"/>
        </w:rPr>
        <w:t xml:space="preserve"> unemployment hits hardest</w:t>
      </w:r>
      <w:r w:rsidRPr="00A9456C">
        <w:rPr>
          <w:rFonts w:cs="Times New Roman (Body CS)"/>
          <w:color w:val="000000" w:themeColor="text1"/>
        </w:rPr>
        <w:t xml:space="preserve">. </w:t>
      </w:r>
      <w:hyperlink r:id="rId11" w:history="1">
        <w:r w:rsidRPr="00A9456C">
          <w:rPr>
            <w:rStyle w:val="Hyperlink"/>
            <w:rFonts w:cs="Times New Roman (Body CS)"/>
          </w:rPr>
          <w:t>https://berl.co.nz</w:t>
        </w:r>
      </w:hyperlink>
    </w:p>
    <w:p w14:paraId="746EA582" w14:textId="77777777" w:rsidR="005D478A" w:rsidRPr="00A9456C" w:rsidRDefault="005D478A" w:rsidP="005D478A">
      <w:pPr>
        <w:spacing w:line="360" w:lineRule="auto"/>
        <w:rPr>
          <w:rFonts w:cs="Times New Roman (Body CS)"/>
          <w:color w:val="000000" w:themeColor="text1"/>
        </w:rPr>
      </w:pPr>
      <w:r w:rsidRPr="00A9456C">
        <w:rPr>
          <w:rFonts w:cs="Times New Roman (Body CS)"/>
          <w:color w:val="000000" w:themeColor="text1"/>
        </w:rPr>
        <w:t xml:space="preserve">Johnston, M. (2025). </w:t>
      </w:r>
      <w:r w:rsidRPr="00A9456C">
        <w:rPr>
          <w:rFonts w:cs="Times New Roman (Body CS)"/>
          <w:i/>
          <w:iCs/>
          <w:color w:val="000000" w:themeColor="text1"/>
        </w:rPr>
        <w:t>Trade routes</w:t>
      </w:r>
      <w:r w:rsidRPr="00A9456C">
        <w:rPr>
          <w:rFonts w:cs="Times New Roman (Body CS)"/>
          <w:color w:val="000000" w:themeColor="text1"/>
        </w:rPr>
        <w:t xml:space="preserve">. The New Zealand Initiative. </w:t>
      </w:r>
      <w:hyperlink r:id="rId12" w:history="1">
        <w:r w:rsidRPr="00A9456C">
          <w:rPr>
            <w:rStyle w:val="Hyperlink"/>
            <w:rFonts w:cs="Times New Roman (Body CS)"/>
          </w:rPr>
          <w:t>https://www.nzinitiative.org.nz</w:t>
        </w:r>
      </w:hyperlink>
    </w:p>
    <w:p w14:paraId="53D0623D" w14:textId="77777777" w:rsidR="005D478A" w:rsidRPr="00A9456C" w:rsidRDefault="005D478A" w:rsidP="005D478A">
      <w:pPr>
        <w:spacing w:line="360" w:lineRule="auto"/>
        <w:rPr>
          <w:rFonts w:cs="Times New Roman (Body CS)"/>
          <w:color w:val="000000" w:themeColor="text1"/>
        </w:rPr>
      </w:pPr>
      <w:r w:rsidRPr="00A9456C">
        <w:rPr>
          <w:rFonts w:cs="Times New Roman (Body CS)"/>
          <w:color w:val="000000" w:themeColor="text1"/>
        </w:rPr>
        <w:t xml:space="preserve">Ministry of Education. (2025). </w:t>
      </w:r>
      <w:r w:rsidRPr="00A9456C">
        <w:rPr>
          <w:rFonts w:cs="Times New Roman (Body CS)"/>
          <w:i/>
          <w:iCs/>
          <w:color w:val="000000" w:themeColor="text1"/>
        </w:rPr>
        <w:t>Monitoring Gateway and Trades Academies</w:t>
      </w:r>
      <w:r w:rsidRPr="00A9456C">
        <w:rPr>
          <w:rFonts w:cs="Times New Roman (Body CS)"/>
          <w:color w:val="000000" w:themeColor="text1"/>
        </w:rPr>
        <w:t xml:space="preserve">. </w:t>
      </w:r>
    </w:p>
    <w:p w14:paraId="7C559B4B" w14:textId="77777777" w:rsidR="005D478A" w:rsidRPr="00A9456C" w:rsidRDefault="005D478A" w:rsidP="005D478A">
      <w:pPr>
        <w:spacing w:line="360" w:lineRule="auto"/>
        <w:rPr>
          <w:rFonts w:cs="Times New Roman (Body CS)"/>
          <w:color w:val="000000" w:themeColor="text1"/>
        </w:rPr>
      </w:pPr>
      <w:r w:rsidRPr="00A9456C">
        <w:rPr>
          <w:rFonts w:cs="Times New Roman (Body CS)"/>
          <w:color w:val="000000" w:themeColor="text1"/>
        </w:rPr>
        <w:lastRenderedPageBreak/>
        <w:t xml:space="preserve">Ministry of Education. (2024). </w:t>
      </w:r>
      <w:r w:rsidRPr="00A9456C">
        <w:rPr>
          <w:rFonts w:cs="Times New Roman (Body CS)"/>
          <w:i/>
          <w:iCs/>
          <w:color w:val="000000" w:themeColor="text1"/>
        </w:rPr>
        <w:t>School leaver destinations 2024</w:t>
      </w:r>
      <w:r w:rsidRPr="00A9456C">
        <w:rPr>
          <w:rFonts w:cs="Times New Roman (Body CS)"/>
          <w:color w:val="000000" w:themeColor="text1"/>
        </w:rPr>
        <w:t xml:space="preserve">. Education Counts. </w:t>
      </w:r>
      <w:hyperlink r:id="rId13" w:history="1">
        <w:r w:rsidRPr="00A9456C">
          <w:rPr>
            <w:rStyle w:val="Hyperlink"/>
            <w:rFonts w:cs="Times New Roman (Body CS)"/>
          </w:rPr>
          <w:t>https://www.educationcounts.govt.nz/statistics/school-leavers</w:t>
        </w:r>
      </w:hyperlink>
    </w:p>
    <w:p w14:paraId="7B3383FA" w14:textId="77777777" w:rsidR="005D478A" w:rsidRPr="00A9456C" w:rsidRDefault="005D478A" w:rsidP="005D478A">
      <w:pPr>
        <w:spacing w:line="360" w:lineRule="auto"/>
        <w:rPr>
          <w:rFonts w:cs="Times New Roman (Body CS)"/>
          <w:color w:val="000000" w:themeColor="text1"/>
        </w:rPr>
      </w:pPr>
      <w:r w:rsidRPr="00A9456C">
        <w:rPr>
          <w:rFonts w:cs="Times New Roman (Body CS)"/>
          <w:color w:val="000000" w:themeColor="text1"/>
        </w:rPr>
        <w:t xml:space="preserve">Ministry of Education. (2024). </w:t>
      </w:r>
      <w:r w:rsidRPr="00A9456C">
        <w:rPr>
          <w:rFonts w:cs="Times New Roman (Body CS)"/>
          <w:i/>
          <w:iCs/>
          <w:color w:val="000000" w:themeColor="text1"/>
        </w:rPr>
        <w:t>Tertiary achievement and attainment</w:t>
      </w:r>
      <w:r w:rsidRPr="00A9456C">
        <w:rPr>
          <w:rFonts w:cs="Times New Roman (Body CS)"/>
          <w:color w:val="000000" w:themeColor="text1"/>
        </w:rPr>
        <w:t xml:space="preserve">. Education Counts. </w:t>
      </w:r>
      <w:hyperlink r:id="rId14" w:history="1">
        <w:r w:rsidRPr="00A9456C">
          <w:rPr>
            <w:rStyle w:val="Hyperlink"/>
            <w:rFonts w:cs="Times New Roman (Body CS)"/>
          </w:rPr>
          <w:t>https://www.educationcounts.govt.nz/statistics/achievement-and-attainment</w:t>
        </w:r>
      </w:hyperlink>
    </w:p>
    <w:p w14:paraId="025B1838" w14:textId="77777777" w:rsidR="005D478A" w:rsidRPr="00A9456C" w:rsidRDefault="005D478A" w:rsidP="005D478A">
      <w:pPr>
        <w:spacing w:line="360" w:lineRule="auto"/>
        <w:rPr>
          <w:rFonts w:cs="Times New Roman (Body CS)"/>
          <w:color w:val="000000" w:themeColor="text1"/>
        </w:rPr>
      </w:pPr>
      <w:r w:rsidRPr="00A9456C">
        <w:rPr>
          <w:rFonts w:cs="Times New Roman (Body CS)"/>
          <w:color w:val="000000" w:themeColor="text1"/>
        </w:rPr>
        <w:t xml:space="preserve">NCVER. (2020). </w:t>
      </w:r>
      <w:r w:rsidRPr="00A9456C">
        <w:rPr>
          <w:rFonts w:cs="Times New Roman (Body CS)"/>
          <w:i/>
          <w:iCs/>
          <w:color w:val="000000" w:themeColor="text1"/>
        </w:rPr>
        <w:t>Australian vocational education and training statistics: VET student outcomes 2020</w:t>
      </w:r>
      <w:r w:rsidRPr="00A9456C">
        <w:rPr>
          <w:rFonts w:cs="Times New Roman (Body CS)"/>
          <w:color w:val="000000" w:themeColor="text1"/>
        </w:rPr>
        <w:t xml:space="preserve">. </w:t>
      </w:r>
    </w:p>
    <w:p w14:paraId="7BBCBC56" w14:textId="77777777" w:rsidR="005D478A" w:rsidRPr="00A9456C" w:rsidRDefault="005D478A" w:rsidP="005D478A">
      <w:pPr>
        <w:spacing w:line="360" w:lineRule="auto"/>
        <w:rPr>
          <w:rFonts w:cs="Times New Roman (Body CS)"/>
          <w:color w:val="000000" w:themeColor="text1"/>
        </w:rPr>
      </w:pPr>
      <w:r w:rsidRPr="00A9456C">
        <w:rPr>
          <w:rFonts w:cs="Times New Roman (Body CS)"/>
          <w:color w:val="000000" w:themeColor="text1"/>
        </w:rPr>
        <w:t xml:space="preserve">OECD. (2015). </w:t>
      </w:r>
      <w:r w:rsidRPr="00A9456C">
        <w:rPr>
          <w:rFonts w:cs="Times New Roman (Body CS)"/>
          <w:i/>
          <w:iCs/>
          <w:color w:val="000000" w:themeColor="text1"/>
        </w:rPr>
        <w:t>Youth unemployment rate</w:t>
      </w:r>
      <w:r w:rsidRPr="00A9456C">
        <w:rPr>
          <w:rFonts w:cs="Times New Roman (Body CS)"/>
          <w:color w:val="000000" w:themeColor="text1"/>
        </w:rPr>
        <w:t xml:space="preserve"> (indicator). </w:t>
      </w:r>
      <w:hyperlink r:id="rId15" w:history="1">
        <w:r w:rsidRPr="00A9456C">
          <w:rPr>
            <w:rStyle w:val="Hyperlink"/>
            <w:rFonts w:cs="Times New Roman (Body CS)"/>
          </w:rPr>
          <w:t>https://doi.org/10.1787/c3634df7-en</w:t>
        </w:r>
      </w:hyperlink>
    </w:p>
    <w:p w14:paraId="12921E97" w14:textId="77777777" w:rsidR="005D478A" w:rsidRPr="00A9456C" w:rsidRDefault="005D478A" w:rsidP="005D478A">
      <w:pPr>
        <w:spacing w:line="360" w:lineRule="auto"/>
        <w:rPr>
          <w:rFonts w:cs="Times New Roman (Body CS)"/>
          <w:color w:val="000000" w:themeColor="text1"/>
        </w:rPr>
      </w:pPr>
      <w:r w:rsidRPr="00A9456C">
        <w:rPr>
          <w:rFonts w:cs="Times New Roman (Body CS)"/>
          <w:color w:val="000000" w:themeColor="text1"/>
        </w:rPr>
        <w:t xml:space="preserve">Productivity Commission. (2020). </w:t>
      </w:r>
      <w:r w:rsidRPr="00A9456C">
        <w:rPr>
          <w:rFonts w:cs="Times New Roman (Body CS)"/>
          <w:i/>
          <w:iCs/>
          <w:color w:val="000000" w:themeColor="text1"/>
        </w:rPr>
        <w:t>The national agreement for skills and workforce development review</w:t>
      </w:r>
      <w:r w:rsidRPr="00A9456C">
        <w:rPr>
          <w:rFonts w:cs="Times New Roman (Body CS)"/>
          <w:color w:val="000000" w:themeColor="text1"/>
        </w:rPr>
        <w:t>. Australian Government.</w:t>
      </w:r>
    </w:p>
    <w:p w14:paraId="0AAC4E44" w14:textId="77777777" w:rsidR="005D478A" w:rsidRPr="00A9456C" w:rsidRDefault="005D478A" w:rsidP="005D478A">
      <w:pPr>
        <w:spacing w:line="360" w:lineRule="auto"/>
        <w:rPr>
          <w:rFonts w:cs="Times New Roman (Body CS)"/>
          <w:color w:val="000000" w:themeColor="text1"/>
        </w:rPr>
      </w:pPr>
      <w:r w:rsidRPr="00A9456C">
        <w:rPr>
          <w:rFonts w:cs="Times New Roman (Body CS)"/>
          <w:color w:val="000000" w:themeColor="text1"/>
        </w:rPr>
        <w:t xml:space="preserve">Scottish Government. (2019). </w:t>
      </w:r>
      <w:r w:rsidRPr="00A9456C">
        <w:rPr>
          <w:rFonts w:cs="Times New Roman (Body CS)"/>
          <w:i/>
          <w:iCs/>
          <w:color w:val="000000" w:themeColor="text1"/>
        </w:rPr>
        <w:t>Developing the young workforce: Annual progress report 2019</w:t>
      </w:r>
      <w:r w:rsidRPr="00A9456C">
        <w:rPr>
          <w:rFonts w:cs="Times New Roman (Body CS)"/>
          <w:color w:val="000000" w:themeColor="text1"/>
        </w:rPr>
        <w:t xml:space="preserve">. </w:t>
      </w:r>
    </w:p>
    <w:p w14:paraId="0F433E27" w14:textId="77777777" w:rsidR="005D478A" w:rsidRPr="00A9456C" w:rsidRDefault="005D478A" w:rsidP="005D478A">
      <w:pPr>
        <w:spacing w:line="360" w:lineRule="auto"/>
        <w:rPr>
          <w:rFonts w:cs="Times New Roman (Body CS)"/>
          <w:color w:val="000000" w:themeColor="text1"/>
        </w:rPr>
      </w:pPr>
      <w:r w:rsidRPr="00A9456C">
        <w:rPr>
          <w:rFonts w:cs="Times New Roman (Body CS)"/>
          <w:color w:val="000000" w:themeColor="text1"/>
        </w:rPr>
        <w:t xml:space="preserve">Skills Development Scotland. (2020). </w:t>
      </w:r>
      <w:r w:rsidRPr="00A9456C">
        <w:rPr>
          <w:rFonts w:cs="Times New Roman (Body CS)"/>
          <w:i/>
          <w:iCs/>
          <w:color w:val="000000" w:themeColor="text1"/>
        </w:rPr>
        <w:t>Participation in learning, training and employment: Annual report 2019–20</w:t>
      </w:r>
      <w:r w:rsidRPr="00A9456C">
        <w:rPr>
          <w:rFonts w:cs="Times New Roman (Body CS)"/>
          <w:color w:val="000000" w:themeColor="text1"/>
        </w:rPr>
        <w:t xml:space="preserve">. </w:t>
      </w:r>
    </w:p>
    <w:p w14:paraId="21B42188" w14:textId="77777777" w:rsidR="005D478A" w:rsidRPr="00A9456C" w:rsidRDefault="005D478A" w:rsidP="005D478A">
      <w:pPr>
        <w:spacing w:line="360" w:lineRule="auto"/>
        <w:rPr>
          <w:rFonts w:cs="Times New Roman (Body CS)"/>
          <w:color w:val="000000" w:themeColor="text1"/>
        </w:rPr>
      </w:pPr>
      <w:r w:rsidRPr="00A9456C">
        <w:rPr>
          <w:rFonts w:cs="Times New Roman (Body CS)"/>
          <w:color w:val="000000" w:themeColor="text1"/>
        </w:rPr>
        <w:t xml:space="preserve">Skills Group. (2024). </w:t>
      </w:r>
      <w:r w:rsidRPr="00A9456C">
        <w:rPr>
          <w:rFonts w:cs="Times New Roman (Body CS)"/>
          <w:i/>
          <w:iCs/>
          <w:color w:val="000000" w:themeColor="text1"/>
        </w:rPr>
        <w:t>Secondary school pathways and transitions to VET and employment: Phase 1 data enquiry</w:t>
      </w:r>
      <w:r w:rsidRPr="00A9456C">
        <w:rPr>
          <w:rFonts w:cs="Times New Roman (Body CS)"/>
          <w:color w:val="000000" w:themeColor="text1"/>
        </w:rPr>
        <w:t>. Skills Group / Food and Fibre Centre of Vocational Excellence.</w:t>
      </w:r>
    </w:p>
    <w:p w14:paraId="16771D33" w14:textId="77777777" w:rsidR="005D478A" w:rsidRPr="00A9456C" w:rsidRDefault="005D478A" w:rsidP="005D478A">
      <w:pPr>
        <w:spacing w:line="360" w:lineRule="auto"/>
        <w:rPr>
          <w:rFonts w:cs="Times New Roman (Body CS)"/>
          <w:color w:val="000000" w:themeColor="text1"/>
        </w:rPr>
      </w:pPr>
      <w:r w:rsidRPr="00A9456C">
        <w:rPr>
          <w:rFonts w:cs="Times New Roman (Body CS)"/>
          <w:color w:val="000000" w:themeColor="text1"/>
        </w:rPr>
        <w:t xml:space="preserve">Skills Group. (2024). </w:t>
      </w:r>
      <w:r w:rsidRPr="00A9456C">
        <w:rPr>
          <w:rFonts w:cs="Times New Roman (Body CS)"/>
          <w:i/>
          <w:iCs/>
          <w:color w:val="000000" w:themeColor="text1"/>
        </w:rPr>
        <w:t>Secondary school pathways and transitions to VET and employment: Policy and strategy review</w:t>
      </w:r>
      <w:r w:rsidRPr="00A9456C">
        <w:rPr>
          <w:rFonts w:cs="Times New Roman (Body CS)"/>
          <w:color w:val="000000" w:themeColor="text1"/>
        </w:rPr>
        <w:t>. Skills Group / Food and Fibre Centre of Vocational Excellence.</w:t>
      </w:r>
    </w:p>
    <w:p w14:paraId="72A7E93E" w14:textId="77777777" w:rsidR="005D478A" w:rsidRPr="00A9456C" w:rsidRDefault="005D478A" w:rsidP="005D478A">
      <w:pPr>
        <w:spacing w:line="360" w:lineRule="auto"/>
        <w:rPr>
          <w:rFonts w:cs="Times New Roman (Body CS)"/>
          <w:color w:val="000000" w:themeColor="text1"/>
        </w:rPr>
      </w:pPr>
      <w:r w:rsidRPr="00A9456C">
        <w:rPr>
          <w:rFonts w:cs="Times New Roman (Body CS)"/>
          <w:color w:val="000000" w:themeColor="text1"/>
        </w:rPr>
        <w:t xml:space="preserve">Skills Group. (2025). </w:t>
      </w:r>
      <w:r w:rsidRPr="00A9456C">
        <w:rPr>
          <w:rFonts w:cs="Times New Roman (Body CS)"/>
          <w:i/>
          <w:iCs/>
          <w:color w:val="000000" w:themeColor="text1"/>
        </w:rPr>
        <w:t>The school to work interface: Future focus</w:t>
      </w:r>
      <w:r w:rsidRPr="00A9456C">
        <w:rPr>
          <w:rFonts w:cs="Times New Roman (Body CS)"/>
          <w:color w:val="000000" w:themeColor="text1"/>
        </w:rPr>
        <w:t>. Skills Group / Food and Fibre Centre of Vocational Excellence.</w:t>
      </w:r>
    </w:p>
    <w:p w14:paraId="2EABE6D0" w14:textId="77777777" w:rsidR="00180034" w:rsidRDefault="00180034" w:rsidP="00440BD8">
      <w:pPr>
        <w:rPr>
          <w:rFonts w:ascii="Arial" w:hAnsi="Arial" w:cs="Arial"/>
          <w:b/>
          <w:bCs/>
          <w:color w:val="1C3F5F"/>
          <w:sz w:val="18"/>
          <w:szCs w:val="18"/>
        </w:rPr>
      </w:pPr>
    </w:p>
    <w:sectPr w:rsidR="00180034" w:rsidSect="005D478A">
      <w:headerReference w:type="even" r:id="rId16"/>
      <w:headerReference w:type="default" r:id="rId17"/>
      <w:footerReference w:type="even" r:id="rId18"/>
      <w:footerReference w:type="default" r:id="rId19"/>
      <w:headerReference w:type="first" r:id="rId20"/>
      <w:footerReference w:type="first" r:id="rId21"/>
      <w:pgSz w:w="11907" w:h="16840" w:code="9"/>
      <w:pgMar w:top="1446" w:right="1417" w:bottom="1440" w:left="2552" w:header="720" w:footer="567" w:gutter="0"/>
      <w:pgNumType w:start="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CA688" w14:textId="77777777" w:rsidR="0028784D" w:rsidRPr="00A9456C" w:rsidRDefault="0028784D" w:rsidP="00D31EAC">
      <w:r w:rsidRPr="00A9456C">
        <w:separator/>
      </w:r>
    </w:p>
    <w:p w14:paraId="65BDA5DE" w14:textId="77777777" w:rsidR="0028784D" w:rsidRPr="00A9456C" w:rsidRDefault="0028784D"/>
  </w:endnote>
  <w:endnote w:type="continuationSeparator" w:id="0">
    <w:p w14:paraId="540BD492" w14:textId="77777777" w:rsidR="0028784D" w:rsidRPr="00A9456C" w:rsidRDefault="0028784D" w:rsidP="00D31EAC">
      <w:r w:rsidRPr="00A9456C">
        <w:continuationSeparator/>
      </w:r>
    </w:p>
    <w:p w14:paraId="64E6CF49" w14:textId="77777777" w:rsidR="0028784D" w:rsidRPr="00A9456C" w:rsidRDefault="002878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inionPro-Regular">
    <w:altName w:val="Minion Pro"/>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45 Light">
    <w:altName w:val="Arial"/>
    <w:charset w:val="00"/>
    <w:family w:val="swiss"/>
    <w:pitch w:val="variable"/>
    <w:sig w:usb0="800000AF" w:usb1="4000204A" w:usb2="00000000" w:usb3="00000000" w:csb0="00000001" w:csb1="00000000"/>
  </w:font>
  <w:font w:name="Times New Roman (Body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83DA8" w14:textId="77777777" w:rsidR="005B56F6" w:rsidRPr="00A9456C" w:rsidRDefault="005B56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C4C77" w14:textId="77777777" w:rsidR="00440BD8" w:rsidRPr="00A9456C" w:rsidRDefault="005B56F6">
    <w:pPr>
      <w:pStyle w:val="Footer"/>
    </w:pPr>
    <w:r w:rsidRPr="00A9456C">
      <w:rPr>
        <w:noProof/>
      </w:rPr>
      <w:drawing>
        <wp:anchor distT="0" distB="0" distL="114300" distR="114300" simplePos="0" relativeHeight="251679744" behindDoc="1" locked="1" layoutInCell="1" allowOverlap="1" wp14:anchorId="3DEA4F66" wp14:editId="3DEA4F67">
          <wp:simplePos x="0" y="0"/>
          <wp:positionH relativeFrom="page">
            <wp:align>right</wp:align>
          </wp:positionH>
          <wp:positionV relativeFrom="page">
            <wp:align>bottom</wp:align>
          </wp:positionV>
          <wp:extent cx="522000" cy="1771200"/>
          <wp:effectExtent l="0" t="0" r="0" b="0"/>
          <wp:wrapNone/>
          <wp:docPr id="5866783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010417"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522000" cy="17712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39E51" w14:textId="77777777" w:rsidR="005B56F6" w:rsidRPr="00A9456C" w:rsidRDefault="005B56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ADEED" w14:textId="77777777" w:rsidR="0028784D" w:rsidRPr="00A9456C" w:rsidRDefault="0028784D" w:rsidP="00D31EAC">
      <w:r w:rsidRPr="00A9456C">
        <w:separator/>
      </w:r>
    </w:p>
    <w:p w14:paraId="58A6F21A" w14:textId="77777777" w:rsidR="0028784D" w:rsidRPr="00A9456C" w:rsidRDefault="0028784D"/>
  </w:footnote>
  <w:footnote w:type="continuationSeparator" w:id="0">
    <w:p w14:paraId="59786255" w14:textId="77777777" w:rsidR="0028784D" w:rsidRPr="00A9456C" w:rsidRDefault="0028784D" w:rsidP="00D31EAC">
      <w:r w:rsidRPr="00A9456C">
        <w:continuationSeparator/>
      </w:r>
    </w:p>
    <w:p w14:paraId="7A613F07" w14:textId="77777777" w:rsidR="0028784D" w:rsidRPr="00A9456C" w:rsidRDefault="002878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81E98" w14:textId="77777777" w:rsidR="005B56F6" w:rsidRPr="00A9456C" w:rsidRDefault="005B56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AE932" w14:textId="77777777" w:rsidR="00476101" w:rsidRPr="00A9456C" w:rsidRDefault="00476101" w:rsidP="004C6EA4">
    <w:pPr>
      <w:pStyle w:val="Header"/>
      <w:jc w:val="right"/>
    </w:pPr>
  </w:p>
  <w:p w14:paraId="089123D2" w14:textId="77777777" w:rsidR="00476101" w:rsidRPr="00A9456C" w:rsidRDefault="00476101">
    <w:pPr>
      <w:pStyle w:val="Header"/>
    </w:pPr>
  </w:p>
  <w:p w14:paraId="4317DE0B" w14:textId="77777777" w:rsidR="00476101" w:rsidRPr="00A9456C" w:rsidRDefault="0047610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023BB" w14:textId="77777777" w:rsidR="00FD11FD" w:rsidRPr="00A9456C" w:rsidRDefault="007B78B2">
    <w:pPr>
      <w:pStyle w:val="Header"/>
    </w:pPr>
    <w:r w:rsidRPr="00A9456C">
      <w:rPr>
        <w:noProof/>
      </w:rPr>
      <w:drawing>
        <wp:anchor distT="0" distB="0" distL="114300" distR="114300" simplePos="0" relativeHeight="251677696" behindDoc="1" locked="0" layoutInCell="1" allowOverlap="1" wp14:anchorId="3DEA4F68" wp14:editId="3DEA4F69">
          <wp:simplePos x="0" y="0"/>
          <wp:positionH relativeFrom="page">
            <wp:align>left</wp:align>
          </wp:positionH>
          <wp:positionV relativeFrom="page">
            <wp:align>top</wp:align>
          </wp:positionV>
          <wp:extent cx="1166400" cy="2811600"/>
          <wp:effectExtent l="0" t="0" r="2540" b="0"/>
          <wp:wrapNone/>
          <wp:docPr id="896825623" name="Picture 896825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581013" name="Picture 702581013"/>
                  <pic:cNvPicPr/>
                </pic:nvPicPr>
                <pic:blipFill>
                  <a:blip r:embed="rId1">
                    <a:extLst>
                      <a:ext uri="{28A0092B-C50C-407E-A947-70E740481C1C}">
                        <a14:useLocalDpi xmlns:a14="http://schemas.microsoft.com/office/drawing/2010/main" val="0"/>
                      </a:ext>
                    </a:extLst>
                  </a:blip>
                  <a:stretch>
                    <a:fillRect/>
                  </a:stretch>
                </pic:blipFill>
                <pic:spPr>
                  <a:xfrm>
                    <a:off x="0" y="0"/>
                    <a:ext cx="1166400" cy="2811600"/>
                  </a:xfrm>
                  <a:prstGeom prst="rect">
                    <a:avLst/>
                  </a:prstGeom>
                </pic:spPr>
              </pic:pic>
            </a:graphicData>
          </a:graphic>
          <wp14:sizeRelH relativeFrom="margin">
            <wp14:pctWidth>0</wp14:pctWidth>
          </wp14:sizeRelH>
          <wp14:sizeRelV relativeFrom="margin">
            <wp14:pctHeight>0</wp14:pctHeight>
          </wp14:sizeRelV>
        </wp:anchor>
      </w:drawing>
    </w:r>
    <w:r w:rsidR="00F40933" w:rsidRPr="00A9456C">
      <w:rPr>
        <w:noProof/>
      </w:rPr>
      <w:drawing>
        <wp:anchor distT="0" distB="0" distL="114300" distR="114300" simplePos="0" relativeHeight="251676671" behindDoc="1" locked="1" layoutInCell="1" allowOverlap="1" wp14:anchorId="3DEA4F6A" wp14:editId="3DEA4F6B">
          <wp:simplePos x="0" y="0"/>
          <wp:positionH relativeFrom="page">
            <wp:align>right</wp:align>
          </wp:positionH>
          <wp:positionV relativeFrom="page">
            <wp:align>bottom</wp:align>
          </wp:positionV>
          <wp:extent cx="522000" cy="1771200"/>
          <wp:effectExtent l="0" t="0" r="0" b="0"/>
          <wp:wrapNone/>
          <wp:docPr id="14183224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010417" name="Picture 2"/>
                  <pic:cNvPicPr/>
                </pic:nvPicPr>
                <pic:blipFill>
                  <a:blip r:embed="rId2">
                    <a:extLst>
                      <a:ext uri="{28A0092B-C50C-407E-A947-70E740481C1C}">
                        <a14:useLocalDpi xmlns:a14="http://schemas.microsoft.com/office/drawing/2010/main" val="0"/>
                      </a:ext>
                    </a:extLst>
                  </a:blip>
                  <a:stretch>
                    <a:fillRect/>
                  </a:stretch>
                </pic:blipFill>
                <pic:spPr>
                  <a:xfrm>
                    <a:off x="0" y="0"/>
                    <a:ext cx="522000" cy="1771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9C290BE"/>
    <w:lvl w:ilvl="0">
      <w:start w:val="1"/>
      <w:numFmt w:val="decimal"/>
      <w:lvlText w:val="%1."/>
      <w:lvlJc w:val="left"/>
      <w:pPr>
        <w:tabs>
          <w:tab w:val="num" w:pos="1492"/>
        </w:tabs>
        <w:ind w:left="1492" w:hanging="360"/>
      </w:pPr>
    </w:lvl>
  </w:abstractNum>
  <w:abstractNum w:abstractNumId="1" w15:restartNumberingAfterBreak="0">
    <w:nsid w:val="FFFFFF7F"/>
    <w:multiLevelType w:val="singleLevel"/>
    <w:tmpl w:val="008E9F8C"/>
    <w:lvl w:ilvl="0">
      <w:start w:val="1"/>
      <w:numFmt w:val="decimal"/>
      <w:lvlText w:val="%1."/>
      <w:lvlJc w:val="left"/>
      <w:pPr>
        <w:tabs>
          <w:tab w:val="num" w:pos="643"/>
        </w:tabs>
        <w:ind w:left="643" w:hanging="360"/>
      </w:pPr>
    </w:lvl>
  </w:abstractNum>
  <w:abstractNum w:abstractNumId="2" w15:restartNumberingAfterBreak="0">
    <w:nsid w:val="23D97DEC"/>
    <w:multiLevelType w:val="hybridMultilevel"/>
    <w:tmpl w:val="A4B8BA0A"/>
    <w:lvl w:ilvl="0" w:tplc="FC82C694">
      <w:numFmt w:val="bullet"/>
      <w:lvlText w:val="•"/>
      <w:lvlJc w:val="left"/>
      <w:pPr>
        <w:ind w:left="720" w:hanging="360"/>
      </w:pPr>
      <w:rPr>
        <w:rFonts w:ascii="Georgia" w:eastAsiaTheme="minorHAnsi" w:hAnsi="Georgia" w:cs="Wingdings" w:hint="default"/>
      </w:rPr>
    </w:lvl>
    <w:lvl w:ilvl="1" w:tplc="14090003" w:tentative="1">
      <w:start w:val="1"/>
      <w:numFmt w:val="bullet"/>
      <w:lvlText w:val="o"/>
      <w:lvlJc w:val="left"/>
      <w:pPr>
        <w:ind w:left="1440" w:hanging="360"/>
      </w:pPr>
      <w:rPr>
        <w:rFonts w:ascii="Courier New" w:hAnsi="Courier New" w:cs="Symbol"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Symbol"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Symbol"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2E2A2F8B"/>
    <w:multiLevelType w:val="hybridMultilevel"/>
    <w:tmpl w:val="5E30C1E8"/>
    <w:lvl w:ilvl="0" w:tplc="0FB85D9A">
      <w:start w:val="1"/>
      <w:numFmt w:val="bullet"/>
      <w:lvlText w:val=""/>
      <w:lvlJc w:val="left"/>
      <w:pPr>
        <w:ind w:left="720" w:hanging="360"/>
      </w:pPr>
      <w:rPr>
        <w:rFonts w:ascii="Symbol" w:hAnsi="Symbol" w:hint="default"/>
        <w:color w:val="FF6142"/>
      </w:rPr>
    </w:lvl>
    <w:lvl w:ilvl="1" w:tplc="14090003" w:tentative="1">
      <w:start w:val="1"/>
      <w:numFmt w:val="bullet"/>
      <w:lvlText w:val="o"/>
      <w:lvlJc w:val="left"/>
      <w:pPr>
        <w:ind w:left="1440" w:hanging="360"/>
      </w:pPr>
      <w:rPr>
        <w:rFonts w:ascii="Courier New" w:hAnsi="Courier New" w:cs="Symbol"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Symbol"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Symbol"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33760691"/>
    <w:multiLevelType w:val="multilevel"/>
    <w:tmpl w:val="C5B0A3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494351EF"/>
    <w:multiLevelType w:val="multilevel"/>
    <w:tmpl w:val="C5B0A350"/>
    <w:lvl w:ilvl="0">
      <w:start w:val="1"/>
      <w:numFmt w:val="upperLetter"/>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4EC52BCD"/>
    <w:multiLevelType w:val="hybridMultilevel"/>
    <w:tmpl w:val="1F8A6A08"/>
    <w:lvl w:ilvl="0" w:tplc="1C24D930">
      <w:start w:val="1"/>
      <w:numFmt w:val="bullet"/>
      <w:lvlText w:val=""/>
      <w:lvlJc w:val="left"/>
      <w:pPr>
        <w:ind w:left="360" w:hanging="360"/>
      </w:pPr>
      <w:rPr>
        <w:rFonts w:ascii="Symbol" w:hAnsi="Symbol" w:hint="default"/>
        <w:color w:val="FF6142"/>
      </w:rPr>
    </w:lvl>
    <w:lvl w:ilvl="1" w:tplc="14090003" w:tentative="1">
      <w:start w:val="1"/>
      <w:numFmt w:val="bullet"/>
      <w:lvlText w:val="o"/>
      <w:lvlJc w:val="left"/>
      <w:pPr>
        <w:ind w:left="1080" w:hanging="360"/>
      </w:pPr>
      <w:rPr>
        <w:rFonts w:ascii="Courier New" w:hAnsi="Courier New" w:cs="Symbol"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Symbol"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Symbol" w:hint="default"/>
      </w:rPr>
    </w:lvl>
    <w:lvl w:ilvl="8" w:tplc="14090005" w:tentative="1">
      <w:start w:val="1"/>
      <w:numFmt w:val="bullet"/>
      <w:lvlText w:val=""/>
      <w:lvlJc w:val="left"/>
      <w:pPr>
        <w:ind w:left="6120" w:hanging="360"/>
      </w:pPr>
      <w:rPr>
        <w:rFonts w:ascii="Wingdings" w:hAnsi="Wingdings" w:hint="default"/>
      </w:rPr>
    </w:lvl>
  </w:abstractNum>
  <w:abstractNum w:abstractNumId="7" w15:restartNumberingAfterBreak="0">
    <w:nsid w:val="582968A0"/>
    <w:multiLevelType w:val="multilevel"/>
    <w:tmpl w:val="C5B0A3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352734755">
    <w:abstractNumId w:val="1"/>
  </w:num>
  <w:num w:numId="2" w16cid:durableId="45764774">
    <w:abstractNumId w:val="0"/>
  </w:num>
  <w:num w:numId="3" w16cid:durableId="1172791482">
    <w:abstractNumId w:val="6"/>
  </w:num>
  <w:num w:numId="4" w16cid:durableId="1076245809">
    <w:abstractNumId w:val="2"/>
  </w:num>
  <w:num w:numId="5" w16cid:durableId="547647742">
    <w:abstractNumId w:val="3"/>
  </w:num>
  <w:num w:numId="6" w16cid:durableId="1308393241">
    <w:abstractNumId w:val="4"/>
  </w:num>
  <w:num w:numId="7" w16cid:durableId="1915160479">
    <w:abstractNumId w:val="5"/>
  </w:num>
  <w:num w:numId="8" w16cid:durableId="49985039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efaultTabStop w:val="720"/>
  <w:drawingGridHorizontalSpacing w:val="360"/>
  <w:drawingGridVerticalSpacing w:val="360"/>
  <w:displayHorizontalDrawingGridEvery w:val="0"/>
  <w:displayVerticalDrawingGridEvery w:val="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84D"/>
    <w:rsid w:val="00061628"/>
    <w:rsid w:val="000A3526"/>
    <w:rsid w:val="000A507A"/>
    <w:rsid w:val="000C15D4"/>
    <w:rsid w:val="000D4AD4"/>
    <w:rsid w:val="000D679A"/>
    <w:rsid w:val="000E623D"/>
    <w:rsid w:val="000F5D1C"/>
    <w:rsid w:val="000F5F53"/>
    <w:rsid w:val="000F6BA4"/>
    <w:rsid w:val="00123318"/>
    <w:rsid w:val="00146C4F"/>
    <w:rsid w:val="00180034"/>
    <w:rsid w:val="0018642E"/>
    <w:rsid w:val="00192121"/>
    <w:rsid w:val="001A2B1F"/>
    <w:rsid w:val="001C1059"/>
    <w:rsid w:val="001D5070"/>
    <w:rsid w:val="001F4921"/>
    <w:rsid w:val="002170D6"/>
    <w:rsid w:val="002606F4"/>
    <w:rsid w:val="0028784D"/>
    <w:rsid w:val="00327B88"/>
    <w:rsid w:val="00335BBB"/>
    <w:rsid w:val="003810D0"/>
    <w:rsid w:val="003A38F4"/>
    <w:rsid w:val="003C1179"/>
    <w:rsid w:val="003D1990"/>
    <w:rsid w:val="003F0A14"/>
    <w:rsid w:val="00411538"/>
    <w:rsid w:val="00414509"/>
    <w:rsid w:val="00427A22"/>
    <w:rsid w:val="00440BD8"/>
    <w:rsid w:val="00464B40"/>
    <w:rsid w:val="00476101"/>
    <w:rsid w:val="004A75C5"/>
    <w:rsid w:val="004C6578"/>
    <w:rsid w:val="004C6EA4"/>
    <w:rsid w:val="005005C9"/>
    <w:rsid w:val="00537AFC"/>
    <w:rsid w:val="00573114"/>
    <w:rsid w:val="00573E4B"/>
    <w:rsid w:val="00583099"/>
    <w:rsid w:val="0058796E"/>
    <w:rsid w:val="005B56F6"/>
    <w:rsid w:val="005C055A"/>
    <w:rsid w:val="005D3005"/>
    <w:rsid w:val="005D478A"/>
    <w:rsid w:val="005D757C"/>
    <w:rsid w:val="006101B0"/>
    <w:rsid w:val="0063607B"/>
    <w:rsid w:val="006361D1"/>
    <w:rsid w:val="0067585D"/>
    <w:rsid w:val="006A3FDA"/>
    <w:rsid w:val="006C5D22"/>
    <w:rsid w:val="006F2387"/>
    <w:rsid w:val="006F6A8C"/>
    <w:rsid w:val="007050C3"/>
    <w:rsid w:val="007122E1"/>
    <w:rsid w:val="0074370C"/>
    <w:rsid w:val="007723F1"/>
    <w:rsid w:val="00794ADC"/>
    <w:rsid w:val="007B78B2"/>
    <w:rsid w:val="007F2DB7"/>
    <w:rsid w:val="0080025E"/>
    <w:rsid w:val="008222F8"/>
    <w:rsid w:val="00834E59"/>
    <w:rsid w:val="00837C40"/>
    <w:rsid w:val="00847959"/>
    <w:rsid w:val="00863EA3"/>
    <w:rsid w:val="008A0461"/>
    <w:rsid w:val="008B359B"/>
    <w:rsid w:val="008E36E7"/>
    <w:rsid w:val="00954008"/>
    <w:rsid w:val="0097784C"/>
    <w:rsid w:val="009A57A5"/>
    <w:rsid w:val="009F0CA0"/>
    <w:rsid w:val="009F2969"/>
    <w:rsid w:val="009F384B"/>
    <w:rsid w:val="00A81C39"/>
    <w:rsid w:val="00A858C2"/>
    <w:rsid w:val="00A9456C"/>
    <w:rsid w:val="00AD207F"/>
    <w:rsid w:val="00B05A7B"/>
    <w:rsid w:val="00B31702"/>
    <w:rsid w:val="00B52034"/>
    <w:rsid w:val="00B67886"/>
    <w:rsid w:val="00B8497C"/>
    <w:rsid w:val="00B932D2"/>
    <w:rsid w:val="00BF03A8"/>
    <w:rsid w:val="00C54FCF"/>
    <w:rsid w:val="00C80E3D"/>
    <w:rsid w:val="00CC06B6"/>
    <w:rsid w:val="00D15AF1"/>
    <w:rsid w:val="00D20477"/>
    <w:rsid w:val="00D31EAC"/>
    <w:rsid w:val="00D53EEE"/>
    <w:rsid w:val="00D67F7A"/>
    <w:rsid w:val="00D855C4"/>
    <w:rsid w:val="00D90BC5"/>
    <w:rsid w:val="00DB1B4D"/>
    <w:rsid w:val="00DC06B8"/>
    <w:rsid w:val="00E0255C"/>
    <w:rsid w:val="00E06670"/>
    <w:rsid w:val="00E16482"/>
    <w:rsid w:val="00E432E0"/>
    <w:rsid w:val="00E545A1"/>
    <w:rsid w:val="00E6048D"/>
    <w:rsid w:val="00E75120"/>
    <w:rsid w:val="00EA1854"/>
    <w:rsid w:val="00EC6C5E"/>
    <w:rsid w:val="00EE2710"/>
    <w:rsid w:val="00F00DA7"/>
    <w:rsid w:val="00F40933"/>
    <w:rsid w:val="00F4191D"/>
    <w:rsid w:val="00F47B0A"/>
    <w:rsid w:val="00F505CB"/>
    <w:rsid w:val="00F61CBB"/>
    <w:rsid w:val="00F83095"/>
    <w:rsid w:val="00FA39A1"/>
    <w:rsid w:val="00FD11FD"/>
    <w:rsid w:val="00FE457B"/>
    <w:rsid w:val="00FF160B"/>
    <w:rsid w:val="00FF6300"/>
  </w:rsids>
  <m:mathPr>
    <m:mathFont m:val="Cambria Math"/>
    <m:brkBin m:val="before"/>
    <m:brkBinSub m:val="--"/>
    <m:smallFrac/>
    <m:dispDef/>
    <m:lMargin m:val="0"/>
    <m:rMargin m:val="0"/>
    <m:defJc m:val="centerGroup"/>
    <m:wrapRight/>
    <m:intLim m:val="subSup"/>
    <m:naryLim m:val="subSup"/>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24C7546"/>
  <w15:docId w15:val="{B60F883C-E21F-40D3-8A8F-B22C0B6A2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yperlink"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1F28"/>
    <w:rPr>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rsid w:val="00EC6C5E"/>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styleId="Header">
    <w:name w:val="header"/>
    <w:basedOn w:val="Normal"/>
    <w:link w:val="HeaderChar"/>
    <w:uiPriority w:val="99"/>
    <w:unhideWhenUsed/>
    <w:rsid w:val="00D31EAC"/>
    <w:pPr>
      <w:tabs>
        <w:tab w:val="center" w:pos="4513"/>
        <w:tab w:val="right" w:pos="9026"/>
      </w:tabs>
    </w:pPr>
  </w:style>
  <w:style w:type="character" w:customStyle="1" w:styleId="HeaderChar">
    <w:name w:val="Header Char"/>
    <w:basedOn w:val="DefaultParagraphFont"/>
    <w:link w:val="Header"/>
    <w:uiPriority w:val="99"/>
    <w:rsid w:val="00D31EAC"/>
  </w:style>
  <w:style w:type="paragraph" w:styleId="Footer">
    <w:name w:val="footer"/>
    <w:basedOn w:val="Normal"/>
    <w:link w:val="FooterChar"/>
    <w:uiPriority w:val="99"/>
    <w:unhideWhenUsed/>
    <w:rsid w:val="00D31EAC"/>
    <w:pPr>
      <w:tabs>
        <w:tab w:val="center" w:pos="4513"/>
        <w:tab w:val="right" w:pos="9026"/>
      </w:tabs>
    </w:pPr>
  </w:style>
  <w:style w:type="character" w:customStyle="1" w:styleId="FooterChar">
    <w:name w:val="Footer Char"/>
    <w:basedOn w:val="DefaultParagraphFont"/>
    <w:link w:val="Footer"/>
    <w:uiPriority w:val="99"/>
    <w:rsid w:val="00D31EAC"/>
  </w:style>
  <w:style w:type="paragraph" w:styleId="BalloonText">
    <w:name w:val="Balloon Text"/>
    <w:basedOn w:val="Normal"/>
    <w:link w:val="BalloonTextChar"/>
    <w:semiHidden/>
    <w:unhideWhenUsed/>
    <w:rsid w:val="00DC06B8"/>
    <w:rPr>
      <w:rFonts w:ascii="Segoe UI" w:hAnsi="Segoe UI" w:cs="Segoe UI"/>
      <w:sz w:val="18"/>
      <w:szCs w:val="18"/>
    </w:rPr>
  </w:style>
  <w:style w:type="character" w:customStyle="1" w:styleId="BalloonTextChar">
    <w:name w:val="Balloon Text Char"/>
    <w:basedOn w:val="DefaultParagraphFont"/>
    <w:link w:val="BalloonText"/>
    <w:semiHidden/>
    <w:rsid w:val="00DC06B8"/>
    <w:rPr>
      <w:rFonts w:ascii="Segoe UI" w:hAnsi="Segoe UI" w:cs="Segoe UI"/>
      <w:sz w:val="18"/>
      <w:szCs w:val="18"/>
    </w:rPr>
  </w:style>
  <w:style w:type="paragraph" w:customStyle="1" w:styleId="Protempoletter">
    <w:name w:val="Protempo letter"/>
    <w:basedOn w:val="Normal"/>
    <w:qFormat/>
    <w:rsid w:val="00C54FCF"/>
    <w:pPr>
      <w:spacing w:after="120" w:line="240" w:lineRule="exact"/>
    </w:pPr>
    <w:rPr>
      <w:rFonts w:ascii="Helvetica 45 Light" w:hAnsi="Helvetica 45 Light"/>
      <w:sz w:val="16"/>
    </w:rPr>
  </w:style>
  <w:style w:type="paragraph" w:customStyle="1" w:styleId="ProtempoREline">
    <w:name w:val="Protempo RE line"/>
    <w:basedOn w:val="Normal"/>
    <w:qFormat/>
    <w:rsid w:val="00C54FCF"/>
    <w:pPr>
      <w:spacing w:after="120" w:line="240" w:lineRule="exact"/>
    </w:pPr>
    <w:rPr>
      <w:rFonts w:ascii="Helvetica 45 Light" w:hAnsi="Helvetica 45 Light"/>
      <w:b/>
      <w:caps/>
      <w:sz w:val="16"/>
    </w:rPr>
  </w:style>
  <w:style w:type="character" w:styleId="Hyperlink">
    <w:name w:val="Hyperlink"/>
    <w:basedOn w:val="DefaultParagraphFont"/>
    <w:uiPriority w:val="99"/>
    <w:unhideWhenUsed/>
    <w:rsid w:val="005D478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ducationcounts.govt.nz/statistics/school-leaver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nzinitiative.org.nz"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erl.co.nz" TargetMode="External"/><Relationship Id="rId5" Type="http://schemas.openxmlformats.org/officeDocument/2006/relationships/numbering" Target="numbering.xml"/><Relationship Id="rId15" Type="http://schemas.openxmlformats.org/officeDocument/2006/relationships/hyperlink" Target="https://doi.org/10.1787/c3634df7-en"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ducationcounts.govt.nz/statistics/achievement-and-attainment"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rynEparaima\OneDrive%20-%20The%20Skills%20Group%20Trust\Desktop\Abstract%20IAEVG%20Redesigning%20School%20to%20Work%20Transition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E7738B79621243A36F2ACA1917DE0B" ma:contentTypeVersion="20" ma:contentTypeDescription="Create a new document." ma:contentTypeScope="" ma:versionID="9a3e612c2e7ddc752a7746ed4dda39e2">
  <xsd:schema xmlns:xsd="http://www.w3.org/2001/XMLSchema" xmlns:xs="http://www.w3.org/2001/XMLSchema" xmlns:p="http://schemas.microsoft.com/office/2006/metadata/properties" xmlns:ns2="fda214b4-2fd3-4a6f-8b32-82acf9e1f80c" xmlns:ns3="e27a7f50-edbc-428b-856b-6e54612b5aec" targetNamespace="http://schemas.microsoft.com/office/2006/metadata/properties" ma:root="true" ma:fieldsID="b007c17acadd7a4a31060a44e560e0af" ns2:_="" ns3:_="">
    <xsd:import namespace="fda214b4-2fd3-4a6f-8b32-82acf9e1f80c"/>
    <xsd:import namespace="e27a7f50-edbc-428b-856b-6e54612b5ae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SearchProperties" minOccurs="0"/>
                <xsd:element ref="ns2:MediaServiceObjectDetectorVersion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a214b4-2fd3-4a6f-8b32-82acf9e1f8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7b8826a-d613-4642-9f99-0056bc0ffb6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7a7f50-edbc-428b-856b-6e54612b5ae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cadecfa-d957-4976-a54e-28227b883cba}" ma:internalName="TaxCatchAll" ma:showField="CatchAllData" ma:web="e27a7f50-edbc-428b-856b-6e54612b5ae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da214b4-2fd3-4a6f-8b32-82acf9e1f80c">
      <Terms xmlns="http://schemas.microsoft.com/office/infopath/2007/PartnerControls"/>
    </lcf76f155ced4ddcb4097134ff3c332f>
    <TaxCatchAll xmlns="e27a7f50-edbc-428b-856b-6e54612b5aec"/>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6E162-1412-4FD3-BE7B-F389F1B727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a214b4-2fd3-4a6f-8b32-82acf9e1f80c"/>
    <ds:schemaRef ds:uri="e27a7f50-edbc-428b-856b-6e54612b5a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D59B55-1FB7-43D6-85BD-E5D6A8795CAB}">
  <ds:schemaRefs>
    <ds:schemaRef ds:uri="http://purl.org/dc/elements/1.1/"/>
    <ds:schemaRef ds:uri="http://schemas.microsoft.com/office/2006/documentManagement/types"/>
    <ds:schemaRef ds:uri="http://schemas.microsoft.com/office/2006/metadata/properties"/>
    <ds:schemaRef ds:uri="http://purl.org/dc/dcmitype/"/>
    <ds:schemaRef ds:uri="http://purl.org/dc/terms/"/>
    <ds:schemaRef ds:uri="http://schemas.openxmlformats.org/package/2006/metadata/core-properties"/>
    <ds:schemaRef ds:uri="fda214b4-2fd3-4a6f-8b32-82acf9e1f80c"/>
    <ds:schemaRef ds:uri="http://schemas.microsoft.com/office/infopath/2007/PartnerControls"/>
    <ds:schemaRef ds:uri="e27a7f50-edbc-428b-856b-6e54612b5aec"/>
    <ds:schemaRef ds:uri="http://www.w3.org/XML/1998/namespace"/>
  </ds:schemaRefs>
</ds:datastoreItem>
</file>

<file path=customXml/itemProps3.xml><?xml version="1.0" encoding="utf-8"?>
<ds:datastoreItem xmlns:ds="http://schemas.openxmlformats.org/officeDocument/2006/customXml" ds:itemID="{6D1E0D2C-4AF3-4333-9006-348FF7B9613F}">
  <ds:schemaRefs>
    <ds:schemaRef ds:uri="http://schemas.microsoft.com/sharepoint/v3/contenttype/forms"/>
  </ds:schemaRefs>
</ds:datastoreItem>
</file>

<file path=customXml/itemProps4.xml><?xml version="1.0" encoding="utf-8"?>
<ds:datastoreItem xmlns:ds="http://schemas.openxmlformats.org/officeDocument/2006/customXml" ds:itemID="{083E1030-C1F4-E942-B926-B9C7492B9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Abstract IAEVG Redesigning School to Work Transitions</Template>
  <TotalTime>1</TotalTime>
  <Pages>3</Pages>
  <Words>975</Words>
  <Characters>5561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Libby Sinclair design</Company>
  <LinksUpToDate>false</LinksUpToDate>
  <CharactersWithSpaces>6523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Taryn Eparaima</dc:creator>
  <cp:keywords/>
  <dc:description/>
  <cp:lastModifiedBy>Taryn Eparaima</cp:lastModifiedBy>
  <cp:revision>2</cp:revision>
  <cp:lastPrinted>2015-12-08T00:23:00Z</cp:lastPrinted>
  <dcterms:created xsi:type="dcterms:W3CDTF">2026-04-15T23:00:00Z</dcterms:created>
  <dcterms:modified xsi:type="dcterms:W3CDTF">2026-04-15T23:00:00Z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0x01010004E7738B79621243A36F2ACA1917DE0B</vt:lpwstr>
  </property>
  <property fmtid="{D5CDD505-2E9C-101B-9397-08002B2CF9AE}" pid="3" name="Order">
    <vt:r8>19911400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SIP_Label_defa4170-0d19-0005-0004-bc88714345d2_Enabled">
    <vt:lpwstr>true</vt:lpwstr>
  </property>
  <property fmtid="{D5CDD505-2E9C-101B-9397-08002B2CF9AE}" pid="11" name="MSIP_Label_defa4170-0d19-0005-0004-bc88714345d2_SetDate">
    <vt:lpwstr>2026-04-15T22:28:52Z</vt:lpwstr>
  </property>
  <property fmtid="{D5CDD505-2E9C-101B-9397-08002B2CF9AE}" pid="12" name="MSIP_Label_defa4170-0d19-0005-0004-bc88714345d2_Method">
    <vt:lpwstr>Standard</vt:lpwstr>
  </property>
  <property fmtid="{D5CDD505-2E9C-101B-9397-08002B2CF9AE}" pid="13" name="MSIP_Label_defa4170-0d19-0005-0004-bc88714345d2_Name">
    <vt:lpwstr>defa4170-0d19-0005-0004-bc88714345d2</vt:lpwstr>
  </property>
  <property fmtid="{D5CDD505-2E9C-101B-9397-08002B2CF9AE}" pid="14" name="MSIP_Label_defa4170-0d19-0005-0004-bc88714345d2_SiteId">
    <vt:lpwstr>479935d5-e1cd-48a7-afa2-86122eba75e4</vt:lpwstr>
  </property>
  <property fmtid="{D5CDD505-2E9C-101B-9397-08002B2CF9AE}" pid="15" name="MSIP_Label_defa4170-0d19-0005-0004-bc88714345d2_ActionId">
    <vt:lpwstr>4a7b5c3e-2f31-43cb-8a96-26def1547579</vt:lpwstr>
  </property>
  <property fmtid="{D5CDD505-2E9C-101B-9397-08002B2CF9AE}" pid="16" name="MSIP_Label_defa4170-0d19-0005-0004-bc88714345d2_ContentBits">
    <vt:lpwstr>0</vt:lpwstr>
  </property>
  <property fmtid="{D5CDD505-2E9C-101B-9397-08002B2CF9AE}" pid="17" name="MSIP_Label_defa4170-0d19-0005-0004-bc88714345d2_Tag">
    <vt:lpwstr>10, 3, 0, 1</vt:lpwstr>
  </property>
</Properties>
</file>