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jc w:val="both"/>
        <w:rPr>
          <w:rFonts w:ascii="Calibri" w:cs="Calibri" w:eastAsia="Calibri" w:hAnsi="Calibri"/>
          <w:b w:val="0"/>
          <w:bCs w:val="0"/>
          <w:sz w:val="22"/>
          <w:szCs w:val="22"/>
        </w:rPr>
      </w:pPr>
      <w:bookmarkStart w:colFirst="0" w:colLast="0" w:name="_lp0tox3llnm8" w:id="0"/>
      <w:bookmarkEnd w:id="0"/>
      <w:r w:rsidDel="00000000" w:rsidR="00000000" w:rsidRPr="00000000">
        <w:rPr>
          <w:rFonts w:ascii="Calibri" w:cs="Calibri" w:eastAsia="Calibri" w:hAnsi="Calibri"/>
          <w:b w:val="0"/>
          <w:bCs w:val="0"/>
          <w:sz w:val="22"/>
          <w:szCs w:val="22"/>
          <w:rtl w:val="0"/>
        </w:rPr>
        <w:t xml:space="preserve">IAEVG Poster Proposal</w:t>
      </w:r>
    </w:p>
    <w:p w:rsidR="00000000" w:rsidDel="00000000" w:rsidP="00000000" w:rsidRDefault="00000000" w:rsidRPr="00000000" w14:paraId="00000002">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3">
      <w:pPr>
        <w:pStyle w:val="Heading1"/>
        <w:widowControl w:val="0"/>
        <w:spacing w:after="0" w:before="200" w:line="240" w:lineRule="auto"/>
        <w:jc w:val="both"/>
        <w:rPr>
          <w:rFonts w:ascii="Calibri" w:cs="Calibri" w:eastAsia="Calibri" w:hAnsi="Calibri"/>
          <w:sz w:val="22"/>
          <w:szCs w:val="22"/>
        </w:rPr>
      </w:pPr>
      <w:bookmarkStart w:colFirst="0" w:colLast="0" w:name="_l22fk3dfyhd6" w:id="1"/>
      <w:bookmarkEnd w:id="1"/>
      <w:r w:rsidDel="00000000" w:rsidR="00000000" w:rsidRPr="00000000">
        <w:rPr>
          <w:rFonts w:ascii="Calibri" w:cs="Calibri" w:eastAsia="Calibri" w:hAnsi="Calibri"/>
          <w:sz w:val="22"/>
          <w:szCs w:val="22"/>
          <w:rtl w:val="0"/>
        </w:rPr>
        <w:t xml:space="preserve">Enhancing career certainty and mana in a rural high school</w:t>
      </w:r>
    </w:p>
    <w:p w:rsidR="00000000" w:rsidDel="00000000" w:rsidP="00000000" w:rsidRDefault="00000000" w:rsidRPr="00000000" w14:paraId="00000004">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5">
      <w:pPr>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Conference theme:</w:t>
      </w:r>
      <w:r w:rsidDel="00000000" w:rsidR="00000000" w:rsidRPr="00000000">
        <w:rPr>
          <w:rFonts w:ascii="Calibri" w:cs="Calibri" w:eastAsia="Calibri" w:hAnsi="Calibri"/>
          <w:sz w:val="22"/>
          <w:szCs w:val="22"/>
          <w:rtl w:val="0"/>
        </w:rPr>
        <w:t xml:space="preserve">  Hiwa-i-te-rangi </w:t>
      </w:r>
    </w:p>
    <w:p w:rsidR="00000000" w:rsidDel="00000000" w:rsidP="00000000" w:rsidRDefault="00000000" w:rsidRPr="00000000" w14:paraId="00000006">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Presentation language:</w:t>
      </w:r>
      <w:r w:rsidDel="00000000" w:rsidR="00000000" w:rsidRPr="00000000">
        <w:rPr>
          <w:rFonts w:ascii="Calibri" w:cs="Calibri" w:eastAsia="Calibri" w:hAnsi="Calibri"/>
          <w:sz w:val="22"/>
          <w:szCs w:val="22"/>
          <w:rtl w:val="0"/>
        </w:rPr>
        <w:t xml:space="preserve"> English</w:t>
      </w:r>
    </w:p>
    <w:p w:rsidR="00000000" w:rsidDel="00000000" w:rsidP="00000000" w:rsidRDefault="00000000" w:rsidRPr="00000000" w14:paraId="00000008">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spacing w:line="36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Abstract:</w:t>
      </w:r>
    </w:p>
    <w:p w:rsidR="00000000" w:rsidDel="00000000" w:rsidP="00000000" w:rsidRDefault="00000000" w:rsidRPr="00000000" w14:paraId="0000000A">
      <w:pPr>
        <w:spacing w:line="3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B">
      <w:pPr>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Introduction</w:t>
      </w:r>
    </w:p>
    <w:p w:rsidR="00000000" w:rsidDel="00000000" w:rsidP="00000000" w:rsidRDefault="00000000" w:rsidRPr="00000000" w14:paraId="0000000C">
      <w:pPr>
        <w:spacing w:before="200"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 OECD report (2024) showed that career uncertainty of 15-year olds in New Zealand has increased to about 40% according to 2022 PISA data, a jump from 25% in 2015 and 2018. The same report stated that longitudinal studies show that in countries where career education is started with students before the age of 15 and continues as an important part of their education every year until leaving school, significant benefits are shown in bringing down career uncertainty and raising income and success of work in their later lives. Holistically, students' mana, (roughly translated as a sense of self-worth, self-efficacy and belonging), is equally important for making wise decisions at every stage of their lives and careers. This became the research topic for a Master degree in Contemporary Education which was completed in 2025 and the degree awarded in 2026.</w:t>
      </w:r>
    </w:p>
    <w:p w:rsidR="00000000" w:rsidDel="00000000" w:rsidP="00000000" w:rsidRDefault="00000000" w:rsidRPr="00000000" w14:paraId="0000000D">
      <w:pPr>
        <w:spacing w:line="360"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E">
      <w:pPr>
        <w:spacing w:line="36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Objectives</w:t>
      </w:r>
    </w:p>
    <w:p w:rsidR="00000000" w:rsidDel="00000000" w:rsidP="00000000" w:rsidRDefault="00000000" w:rsidRPr="00000000" w14:paraId="0000000F">
      <w:pPr>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objectives were to develop creative activities that can be used in a school environment by teachers and/or career advisers to enhance students’ career certainty - which does not mean that they know at an early age what career they want to pursue, but the confidence that they will be able to make the best possible decision at ev and mana.</w:t>
      </w:r>
    </w:p>
    <w:p w:rsidR="00000000" w:rsidDel="00000000" w:rsidP="00000000" w:rsidRDefault="00000000" w:rsidRPr="00000000" w14:paraId="00000010">
      <w:pPr>
        <w:spacing w:line="3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spacing w:line="36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Theoretical basis</w:t>
      </w:r>
    </w:p>
    <w:p w:rsidR="00000000" w:rsidDel="00000000" w:rsidP="00000000" w:rsidRDefault="00000000" w:rsidRPr="00000000" w14:paraId="00000012">
      <w:pPr>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mixture of theories were incorporated, ranging from career development theories such as those of Parsons and Holland, theories about career uncertainty as well as play-based, project-based and place-based learning approach theories.</w:t>
      </w:r>
    </w:p>
    <w:p w:rsidR="00000000" w:rsidDel="00000000" w:rsidP="00000000" w:rsidRDefault="00000000" w:rsidRPr="00000000" w14:paraId="00000013">
      <w:pPr>
        <w:spacing w:line="3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spacing w:line="36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Methodology</w:t>
      </w:r>
    </w:p>
    <w:p w:rsidR="00000000" w:rsidDel="00000000" w:rsidP="00000000" w:rsidRDefault="00000000" w:rsidRPr="00000000" w14:paraId="00000015">
      <w:pPr>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number of activities were developed around a new two-factor model of career exploration. These were tested with small groups of 14 and 15 year old students in three iterations involving different students in each iteration.</w:t>
      </w:r>
    </w:p>
    <w:p w:rsidR="00000000" w:rsidDel="00000000" w:rsidP="00000000" w:rsidRDefault="00000000" w:rsidRPr="00000000" w14:paraId="00000016">
      <w:pPr>
        <w:spacing w:line="3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spacing w:line="36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Results</w:t>
      </w:r>
    </w:p>
    <w:p w:rsidR="00000000" w:rsidDel="00000000" w:rsidP="00000000" w:rsidRDefault="00000000" w:rsidRPr="00000000" w14:paraId="00000018">
      <w:pPr>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relevance and feasibility of the activities based on the two-factor model were confirmed with positive engagement of students and positive feedback from parents. </w:t>
      </w:r>
    </w:p>
    <w:p w:rsidR="00000000" w:rsidDel="00000000" w:rsidP="00000000" w:rsidRDefault="00000000" w:rsidRPr="00000000" w14:paraId="00000019">
      <w:pPr>
        <w:spacing w:line="3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spacing w:line="36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Conclusions</w:t>
      </w:r>
    </w:p>
    <w:p w:rsidR="00000000" w:rsidDel="00000000" w:rsidP="00000000" w:rsidRDefault="00000000" w:rsidRPr="00000000" w14:paraId="0000001B">
      <w:pPr>
        <w:spacing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Even without implementing the tested activities, the concept of the theoretical model is a simple and intuitive way that teachers of all subjects, as well as career advisers, can use to engage in career education with students at intermediate and junior secondary levels.</w:t>
      </w:r>
    </w:p>
    <w:p w:rsidR="00000000" w:rsidDel="00000000" w:rsidP="00000000" w:rsidRDefault="00000000" w:rsidRPr="00000000" w14:paraId="0000001C">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spacing w:line="36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Bibliographical references</w:t>
      </w:r>
    </w:p>
    <w:p w:rsidR="00000000" w:rsidDel="00000000" w:rsidP="00000000" w:rsidRDefault="00000000" w:rsidRPr="00000000" w14:paraId="0000001E">
      <w:pPr>
        <w:widowControl w:val="0"/>
        <w:spacing w:line="360" w:lineRule="auto"/>
        <w:ind w:left="720" w:right="-277.7952755905494"/>
        <w:jc w:val="both"/>
        <w:rPr>
          <w:rFonts w:ascii="Calibri" w:cs="Calibri" w:eastAsia="Calibri" w:hAnsi="Calibri"/>
          <w:sz w:val="22"/>
          <w:szCs w:val="22"/>
        </w:rPr>
      </w:pPr>
      <w:hyperlink r:id="rId6">
        <w:r w:rsidDel="00000000" w:rsidR="00000000" w:rsidRPr="00000000">
          <w:rPr>
            <w:rFonts w:ascii="Calibri" w:cs="Calibri" w:eastAsia="Calibri" w:hAnsi="Calibri"/>
            <w:sz w:val="22"/>
            <w:szCs w:val="22"/>
            <w:rtl w:val="0"/>
          </w:rPr>
          <w:t xml:space="preserve">Bell, S. (2010). Project-based learning for the 21st century: Skills for the future. </w:t>
        </w:r>
      </w:hyperlink>
      <w:hyperlink r:id="rId7">
        <w:r w:rsidDel="00000000" w:rsidR="00000000" w:rsidRPr="00000000">
          <w:rPr>
            <w:rFonts w:ascii="Calibri" w:cs="Calibri" w:eastAsia="Calibri" w:hAnsi="Calibri"/>
            <w:i w:val="1"/>
            <w:iCs w:val="1"/>
            <w:sz w:val="22"/>
            <w:szCs w:val="22"/>
            <w:rtl w:val="0"/>
          </w:rPr>
          <w:t xml:space="preserve">The Clearing House</w:t>
        </w:r>
      </w:hyperlink>
      <w:hyperlink r:id="rId8">
        <w:r w:rsidDel="00000000" w:rsidR="00000000" w:rsidRPr="00000000">
          <w:rPr>
            <w:rFonts w:ascii="Calibri" w:cs="Calibri" w:eastAsia="Calibri" w:hAnsi="Calibri"/>
            <w:sz w:val="22"/>
            <w:szCs w:val="22"/>
            <w:rtl w:val="0"/>
          </w:rPr>
          <w:t xml:space="preserve">, 39–43.</w:t>
        </w:r>
      </w:hyperlink>
      <w:r w:rsidDel="00000000" w:rsidR="00000000" w:rsidRPr="00000000">
        <w:rPr>
          <w:rtl w:val="0"/>
        </w:rPr>
      </w:r>
    </w:p>
    <w:p w:rsidR="00000000" w:rsidDel="00000000" w:rsidP="00000000" w:rsidRDefault="00000000" w:rsidRPr="00000000" w14:paraId="0000001F">
      <w:pPr>
        <w:widowControl w:val="0"/>
        <w:spacing w:before="200" w:line="360" w:lineRule="auto"/>
        <w:ind w:left="7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Boye, J.O. &amp; Nyarko-Sampson, E. (2023). Prevalent Factors of Career Uncertainties among Ghanaian Senior High School Students. </w:t>
      </w:r>
      <w:r w:rsidDel="00000000" w:rsidR="00000000" w:rsidRPr="00000000">
        <w:rPr>
          <w:rFonts w:ascii="Calibri" w:cs="Calibri" w:eastAsia="Calibri" w:hAnsi="Calibri"/>
          <w:i w:val="1"/>
          <w:iCs w:val="1"/>
          <w:sz w:val="22"/>
          <w:szCs w:val="22"/>
          <w:rtl w:val="0"/>
        </w:rPr>
        <w:t xml:space="preserve">Journal of Educational Management, 13(3), </w:t>
      </w:r>
      <w:r w:rsidDel="00000000" w:rsidR="00000000" w:rsidRPr="00000000">
        <w:rPr>
          <w:rFonts w:ascii="Calibri" w:cs="Calibri" w:eastAsia="Calibri" w:hAnsi="Calibri"/>
          <w:sz w:val="22"/>
          <w:szCs w:val="22"/>
          <w:rtl w:val="0"/>
        </w:rPr>
        <w:t xml:space="preserve">54-65. </w:t>
      </w:r>
      <w:hyperlink r:id="rId9">
        <w:r w:rsidDel="00000000" w:rsidR="00000000" w:rsidRPr="00000000">
          <w:rPr>
            <w:rFonts w:ascii="Calibri" w:cs="Calibri" w:eastAsia="Calibri" w:hAnsi="Calibri"/>
            <w:color w:val="1155cc"/>
            <w:sz w:val="22"/>
            <w:szCs w:val="22"/>
            <w:u w:val="single"/>
            <w:rtl w:val="0"/>
          </w:rPr>
          <w:t xml:space="preserve">doi.org10.47963/jem.v13i.1129</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20">
      <w:pPr>
        <w:widowControl w:val="0"/>
        <w:spacing w:line="480" w:lineRule="auto"/>
        <w:ind w:left="720" w:right="-277.7952755905494"/>
        <w:jc w:val="both"/>
        <w:rPr>
          <w:rFonts w:ascii="Calibri" w:cs="Calibri" w:eastAsia="Calibri" w:hAnsi="Calibri"/>
          <w:color w:val="1155cc"/>
          <w:sz w:val="22"/>
          <w:szCs w:val="22"/>
          <w:u w:val="single"/>
        </w:rPr>
      </w:pPr>
      <w:hyperlink r:id="rId10">
        <w:r w:rsidDel="00000000" w:rsidR="00000000" w:rsidRPr="00000000">
          <w:rPr>
            <w:rFonts w:ascii="Calibri" w:cs="Calibri" w:eastAsia="Calibri" w:hAnsi="Calibri"/>
            <w:sz w:val="22"/>
            <w:szCs w:val="22"/>
            <w:rtl w:val="0"/>
          </w:rPr>
          <w:t xml:space="preserve">Byusa, E., Kampire, E., &amp; Mwesigye, A. R. (2022). Game-based learning approach on students’ motivation and understanding of chemistry concepts: A systematic review of literature. </w:t>
        </w:r>
      </w:hyperlink>
      <w:hyperlink r:id="rId11">
        <w:r w:rsidDel="00000000" w:rsidR="00000000" w:rsidRPr="00000000">
          <w:rPr>
            <w:rFonts w:ascii="Calibri" w:cs="Calibri" w:eastAsia="Calibri" w:hAnsi="Calibri"/>
            <w:i w:val="1"/>
            <w:iCs w:val="1"/>
            <w:sz w:val="22"/>
            <w:szCs w:val="22"/>
            <w:rtl w:val="0"/>
          </w:rPr>
          <w:t xml:space="preserve">Heliyon</w:t>
        </w:r>
      </w:hyperlink>
      <w:hyperlink r:id="rId12">
        <w:r w:rsidDel="00000000" w:rsidR="00000000" w:rsidRPr="00000000">
          <w:rPr>
            <w:rFonts w:ascii="Calibri" w:cs="Calibri" w:eastAsia="Calibri" w:hAnsi="Calibri"/>
            <w:sz w:val="22"/>
            <w:szCs w:val="22"/>
            <w:rtl w:val="0"/>
          </w:rPr>
          <w:t xml:space="preserve">, </w:t>
        </w:r>
      </w:hyperlink>
      <w:hyperlink r:id="rId13">
        <w:r w:rsidDel="00000000" w:rsidR="00000000" w:rsidRPr="00000000">
          <w:rPr>
            <w:rFonts w:ascii="Calibri" w:cs="Calibri" w:eastAsia="Calibri" w:hAnsi="Calibri"/>
            <w:i w:val="1"/>
            <w:iCs w:val="1"/>
            <w:sz w:val="22"/>
            <w:szCs w:val="22"/>
            <w:rtl w:val="0"/>
          </w:rPr>
          <w:t xml:space="preserve">8</w:t>
        </w:r>
      </w:hyperlink>
      <w:hyperlink r:id="rId14">
        <w:r w:rsidDel="00000000" w:rsidR="00000000" w:rsidRPr="00000000">
          <w:rPr>
            <w:rFonts w:ascii="Calibri" w:cs="Calibri" w:eastAsia="Calibri" w:hAnsi="Calibri"/>
            <w:sz w:val="22"/>
            <w:szCs w:val="22"/>
            <w:rtl w:val="0"/>
          </w:rPr>
          <w:t xml:space="preserve">(5). </w:t>
        </w:r>
      </w:hyperlink>
      <w:hyperlink r:id="rId15">
        <w:r w:rsidDel="00000000" w:rsidR="00000000" w:rsidRPr="00000000">
          <w:rPr>
            <w:rFonts w:ascii="Calibri" w:cs="Calibri" w:eastAsia="Calibri" w:hAnsi="Calibri"/>
            <w:color w:val="1155cc"/>
            <w:sz w:val="22"/>
            <w:szCs w:val="22"/>
            <w:u w:val="single"/>
            <w:rtl w:val="0"/>
          </w:rPr>
          <w:t xml:space="preserve">https://doi.org/10.1016/j.heliyon.2022.e09541</w:t>
        </w:r>
      </w:hyperlink>
      <w:r w:rsidDel="00000000" w:rsidR="00000000" w:rsidRPr="00000000">
        <w:rPr>
          <w:rtl w:val="0"/>
        </w:rPr>
      </w:r>
    </w:p>
    <w:p w:rsidR="00000000" w:rsidDel="00000000" w:rsidP="00000000" w:rsidRDefault="00000000" w:rsidRPr="00000000" w14:paraId="00000021">
      <w:pPr>
        <w:widowControl w:val="0"/>
        <w:spacing w:line="360" w:lineRule="auto"/>
        <w:ind w:left="720" w:right="-277.7952755905494"/>
        <w:jc w:val="both"/>
        <w:rPr>
          <w:rFonts w:ascii="Calibri" w:cs="Calibri" w:eastAsia="Calibri" w:hAnsi="Calibri"/>
          <w:color w:val="1155cc"/>
          <w:sz w:val="22"/>
          <w:szCs w:val="22"/>
          <w:u w:val="single"/>
        </w:rPr>
      </w:pPr>
      <w:hyperlink r:id="rId16">
        <w:r w:rsidDel="00000000" w:rsidR="00000000" w:rsidRPr="00000000">
          <w:rPr>
            <w:rFonts w:ascii="Calibri" w:cs="Calibri" w:eastAsia="Calibri" w:hAnsi="Calibri"/>
            <w:sz w:val="22"/>
            <w:szCs w:val="22"/>
            <w:rtl w:val="0"/>
          </w:rPr>
          <w:t xml:space="preserve">European Schoolnet Academy (Director). (2014, November 26). </w:t>
        </w:r>
      </w:hyperlink>
      <w:hyperlink r:id="rId17">
        <w:r w:rsidDel="00000000" w:rsidR="00000000" w:rsidRPr="00000000">
          <w:rPr>
            <w:rFonts w:ascii="Calibri" w:cs="Calibri" w:eastAsia="Calibri" w:hAnsi="Calibri"/>
            <w:i w:val="1"/>
            <w:iCs w:val="1"/>
            <w:sz w:val="22"/>
            <w:szCs w:val="22"/>
            <w:rtl w:val="0"/>
          </w:rPr>
          <w:t xml:space="preserve">How to Design Project-Based Learning Activities</w:t>
        </w:r>
      </w:hyperlink>
      <w:hyperlink r:id="rId18">
        <w:r w:rsidDel="00000000" w:rsidR="00000000" w:rsidRPr="00000000">
          <w:rPr>
            <w:rFonts w:ascii="Calibri" w:cs="Calibri" w:eastAsia="Calibri" w:hAnsi="Calibri"/>
            <w:sz w:val="22"/>
            <w:szCs w:val="22"/>
            <w:rtl w:val="0"/>
          </w:rPr>
          <w:t xml:space="preserve"> [Video recording]. </w:t>
        </w:r>
      </w:hyperlink>
      <w:hyperlink r:id="rId19">
        <w:r w:rsidDel="00000000" w:rsidR="00000000" w:rsidRPr="00000000">
          <w:rPr>
            <w:rFonts w:ascii="Calibri" w:cs="Calibri" w:eastAsia="Calibri" w:hAnsi="Calibri"/>
            <w:color w:val="1155cc"/>
            <w:sz w:val="22"/>
            <w:szCs w:val="22"/>
            <w:u w:val="single"/>
            <w:rtl w:val="0"/>
          </w:rPr>
          <w:t xml:space="preserve">https://www.youtube.com/watch?v=_3yAODXnAsg </w:t>
        </w:r>
      </w:hyperlink>
      <w:r w:rsidDel="00000000" w:rsidR="00000000" w:rsidRPr="00000000">
        <w:rPr>
          <w:rtl w:val="0"/>
        </w:rPr>
      </w:r>
    </w:p>
    <w:p w:rsidR="00000000" w:rsidDel="00000000" w:rsidP="00000000" w:rsidRDefault="00000000" w:rsidRPr="00000000" w14:paraId="00000022">
      <w:pPr>
        <w:widowControl w:val="0"/>
        <w:spacing w:before="200" w:line="360" w:lineRule="auto"/>
        <w:ind w:left="7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NMIT, (2017). Course 1 Career development theory 1 (Course information). Nelson Marlborough Institute of Technology and Skills Update Training Institute.</w:t>
      </w:r>
    </w:p>
    <w:p w:rsidR="00000000" w:rsidDel="00000000" w:rsidP="00000000" w:rsidRDefault="00000000" w:rsidRPr="00000000" w14:paraId="00000023">
      <w:pPr>
        <w:widowControl w:val="0"/>
        <w:spacing w:line="360" w:lineRule="auto"/>
        <w:ind w:left="720" w:right="-277.7952755905494"/>
        <w:jc w:val="both"/>
        <w:rPr>
          <w:rFonts w:ascii="Calibri" w:cs="Calibri" w:eastAsia="Calibri" w:hAnsi="Calibri"/>
          <w:color w:val="1155cc"/>
          <w:sz w:val="22"/>
          <w:szCs w:val="22"/>
          <w:u w:val="single"/>
        </w:rPr>
      </w:pPr>
      <w:hyperlink r:id="rId20">
        <w:r w:rsidDel="00000000" w:rsidR="00000000" w:rsidRPr="00000000">
          <w:rPr>
            <w:rFonts w:ascii="Calibri" w:cs="Calibri" w:eastAsia="Calibri" w:hAnsi="Calibri"/>
            <w:sz w:val="22"/>
            <w:szCs w:val="22"/>
            <w:rtl w:val="0"/>
          </w:rPr>
          <w:t xml:space="preserve">Nichols, J. B., Howson, P. H., Mulrey, B. C., Ackerman, A., &amp; Gately, S. E. (2016). The Promise of Place: Using Place-based Education Principles to Enhance Learning. </w:t>
        </w:r>
      </w:hyperlink>
      <w:hyperlink r:id="rId21">
        <w:r w:rsidDel="00000000" w:rsidR="00000000" w:rsidRPr="00000000">
          <w:rPr>
            <w:rFonts w:ascii="Calibri" w:cs="Calibri" w:eastAsia="Calibri" w:hAnsi="Calibri"/>
            <w:i w:val="1"/>
            <w:iCs w:val="1"/>
            <w:sz w:val="22"/>
            <w:szCs w:val="22"/>
            <w:rtl w:val="0"/>
          </w:rPr>
          <w:t xml:space="preserve">The International Journal of Pedagogy and Curriculum</w:t>
        </w:r>
      </w:hyperlink>
      <w:hyperlink r:id="rId22">
        <w:r w:rsidDel="00000000" w:rsidR="00000000" w:rsidRPr="00000000">
          <w:rPr>
            <w:rFonts w:ascii="Calibri" w:cs="Calibri" w:eastAsia="Calibri" w:hAnsi="Calibri"/>
            <w:sz w:val="22"/>
            <w:szCs w:val="22"/>
            <w:rtl w:val="0"/>
          </w:rPr>
          <w:t xml:space="preserve">, </w:t>
        </w:r>
      </w:hyperlink>
      <w:hyperlink r:id="rId23">
        <w:r w:rsidDel="00000000" w:rsidR="00000000" w:rsidRPr="00000000">
          <w:rPr>
            <w:rFonts w:ascii="Calibri" w:cs="Calibri" w:eastAsia="Calibri" w:hAnsi="Calibri"/>
            <w:i w:val="1"/>
            <w:iCs w:val="1"/>
            <w:sz w:val="22"/>
            <w:szCs w:val="22"/>
            <w:rtl w:val="0"/>
          </w:rPr>
          <w:t xml:space="preserve">23</w:t>
        </w:r>
      </w:hyperlink>
      <w:hyperlink r:id="rId24">
        <w:r w:rsidDel="00000000" w:rsidR="00000000" w:rsidRPr="00000000">
          <w:rPr>
            <w:rFonts w:ascii="Calibri" w:cs="Calibri" w:eastAsia="Calibri" w:hAnsi="Calibri"/>
            <w:sz w:val="22"/>
            <w:szCs w:val="22"/>
            <w:rtl w:val="0"/>
          </w:rPr>
          <w:t xml:space="preserve">(2).</w:t>
        </w:r>
      </w:hyperlink>
      <w:hyperlink r:id="rId25">
        <w:r w:rsidDel="00000000" w:rsidR="00000000" w:rsidRPr="00000000">
          <w:rPr>
            <w:rFonts w:ascii="Calibri" w:cs="Calibri" w:eastAsia="Calibri" w:hAnsi="Calibri"/>
            <w:color w:val="1155cc"/>
            <w:sz w:val="22"/>
            <w:szCs w:val="22"/>
            <w:u w:val="single"/>
            <w:rtl w:val="0"/>
          </w:rPr>
          <w:t xml:space="preserve">doi.org/10.18848/2327-7963/CGP/v23i02/27-41</w:t>
        </w:r>
      </w:hyperlink>
      <w:r w:rsidDel="00000000" w:rsidR="00000000" w:rsidRPr="00000000">
        <w:rPr>
          <w:rtl w:val="0"/>
        </w:rPr>
      </w:r>
    </w:p>
    <w:p w:rsidR="00000000" w:rsidDel="00000000" w:rsidP="00000000" w:rsidRDefault="00000000" w:rsidRPr="00000000" w14:paraId="00000024">
      <w:pPr>
        <w:widowControl w:val="0"/>
        <w:spacing w:before="200" w:line="360" w:lineRule="auto"/>
        <w:ind w:left="720"/>
        <w:jc w:val="both"/>
        <w:rPr>
          <w:rFonts w:ascii="Calibri" w:cs="Calibri" w:eastAsia="Calibri" w:hAnsi="Calibri"/>
          <w:sz w:val="22"/>
          <w:szCs w:val="22"/>
        </w:rPr>
      </w:pPr>
      <w:hyperlink r:id="rId26">
        <w:r w:rsidDel="00000000" w:rsidR="00000000" w:rsidRPr="00000000">
          <w:rPr>
            <w:rFonts w:ascii="Calibri" w:cs="Calibri" w:eastAsia="Calibri" w:hAnsi="Calibri"/>
            <w:sz w:val="22"/>
            <w:szCs w:val="22"/>
            <w:rtl w:val="0"/>
          </w:rPr>
          <w:t xml:space="preserve">OECD. (2024). Teenage career uncertainty: Why it matters and how to reduce it. </w:t>
        </w:r>
      </w:hyperlink>
      <w:hyperlink r:id="rId27">
        <w:r w:rsidDel="00000000" w:rsidR="00000000" w:rsidRPr="00000000">
          <w:rPr>
            <w:rFonts w:ascii="Calibri" w:cs="Calibri" w:eastAsia="Calibri" w:hAnsi="Calibri"/>
            <w:i w:val="1"/>
            <w:iCs w:val="1"/>
            <w:sz w:val="22"/>
            <w:szCs w:val="22"/>
            <w:rtl w:val="0"/>
          </w:rPr>
          <w:t xml:space="preserve">OECD Education Spotlights, 16</w:t>
        </w:r>
      </w:hyperlink>
      <w:hyperlink r:id="rId28">
        <w:r w:rsidDel="00000000" w:rsidR="00000000" w:rsidRPr="00000000">
          <w:rPr>
            <w:rFonts w:ascii="Calibri" w:cs="Calibri" w:eastAsia="Calibri" w:hAnsi="Calibri"/>
            <w:sz w:val="22"/>
            <w:szCs w:val="22"/>
            <w:rtl w:val="0"/>
          </w:rPr>
          <w:t xml:space="preserve">. </w:t>
        </w:r>
      </w:hyperlink>
      <w:hyperlink r:id="rId29">
        <w:r w:rsidDel="00000000" w:rsidR="00000000" w:rsidRPr="00000000">
          <w:rPr>
            <w:rFonts w:ascii="Calibri" w:cs="Calibri" w:eastAsia="Calibri" w:hAnsi="Calibri"/>
            <w:color w:val="1155cc"/>
            <w:sz w:val="22"/>
            <w:szCs w:val="22"/>
            <w:u w:val="single"/>
            <w:rtl w:val="0"/>
          </w:rPr>
          <w:t xml:space="preserve">doi.org/10.1787/e89c3da9-en</w:t>
        </w:r>
      </w:hyperlink>
      <w:hyperlink r:id="rId30">
        <w:r w:rsidDel="00000000" w:rsidR="00000000" w:rsidRPr="00000000">
          <w:rPr>
            <w:rFonts w:ascii="Calibri" w:cs="Calibri" w:eastAsia="Calibri" w:hAnsi="Calibri"/>
            <w:sz w:val="22"/>
            <w:szCs w:val="22"/>
            <w:rtl w:val="0"/>
          </w:rPr>
          <w:t xml:space="preserve">. </w:t>
        </w:r>
      </w:hyperlink>
      <w:r w:rsidDel="00000000" w:rsidR="00000000" w:rsidRPr="00000000">
        <w:rPr>
          <w:rtl w:val="0"/>
        </w:rPr>
      </w:r>
    </w:p>
    <w:p w:rsidR="00000000" w:rsidDel="00000000" w:rsidP="00000000" w:rsidRDefault="00000000" w:rsidRPr="00000000" w14:paraId="00000025">
      <w:pPr>
        <w:widowControl w:val="0"/>
        <w:spacing w:before="200" w:line="360" w:lineRule="auto"/>
        <w:ind w:left="7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Stărică, E.C. (2012) Predictors for career indecision in adolescence. </w:t>
      </w:r>
      <w:r w:rsidDel="00000000" w:rsidR="00000000" w:rsidRPr="00000000">
        <w:rPr>
          <w:rFonts w:ascii="Calibri" w:cs="Calibri" w:eastAsia="Calibri" w:hAnsi="Calibri"/>
          <w:i w:val="1"/>
          <w:iCs w:val="1"/>
          <w:sz w:val="22"/>
          <w:szCs w:val="22"/>
          <w:rtl w:val="0"/>
        </w:rPr>
        <w:t xml:space="preserve">Procedia - Social and Behavioral Sciences, 33, </w:t>
      </w:r>
      <w:r w:rsidDel="00000000" w:rsidR="00000000" w:rsidRPr="00000000">
        <w:rPr>
          <w:rFonts w:ascii="Calibri" w:cs="Calibri" w:eastAsia="Calibri" w:hAnsi="Calibri"/>
          <w:sz w:val="22"/>
          <w:szCs w:val="22"/>
          <w:rtl w:val="0"/>
        </w:rPr>
        <w:t xml:space="preserve">168-172. </w:t>
      </w:r>
      <w:hyperlink r:id="rId31">
        <w:r w:rsidDel="00000000" w:rsidR="00000000" w:rsidRPr="00000000">
          <w:rPr>
            <w:rFonts w:ascii="Calibri" w:cs="Calibri" w:eastAsia="Calibri" w:hAnsi="Calibri"/>
            <w:color w:val="1155cc"/>
            <w:sz w:val="22"/>
            <w:szCs w:val="22"/>
            <w:u w:val="single"/>
            <w:rtl w:val="0"/>
          </w:rPr>
          <w:t xml:space="preserve">doi.org/10.1016/j.sbspro.2012.01.105</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26">
      <w:pPr>
        <w:widowControl w:val="0"/>
        <w:spacing w:line="480" w:lineRule="auto"/>
        <w:ind w:left="720" w:right="-277.7952755905494"/>
        <w:jc w:val="both"/>
        <w:rPr>
          <w:rFonts w:ascii="Calibri" w:cs="Calibri" w:eastAsia="Calibri" w:hAnsi="Calibri"/>
          <w:sz w:val="22"/>
          <w:szCs w:val="22"/>
        </w:rPr>
      </w:pPr>
      <w:hyperlink r:id="rId32">
        <w:r w:rsidDel="00000000" w:rsidR="00000000" w:rsidRPr="00000000">
          <w:rPr>
            <w:rFonts w:ascii="Calibri" w:cs="Calibri" w:eastAsia="Calibri" w:hAnsi="Calibri"/>
            <w:sz w:val="22"/>
            <w:szCs w:val="22"/>
            <w:rtl w:val="0"/>
          </w:rPr>
          <w:t xml:space="preserve">Webber, M. (2024). Mana Model. </w:t>
        </w:r>
      </w:hyperlink>
      <w:hyperlink r:id="rId33">
        <w:r w:rsidDel="00000000" w:rsidR="00000000" w:rsidRPr="00000000">
          <w:rPr>
            <w:rFonts w:ascii="Calibri" w:cs="Calibri" w:eastAsia="Calibri" w:hAnsi="Calibri"/>
            <w:i w:val="1"/>
            <w:iCs w:val="1"/>
            <w:sz w:val="22"/>
            <w:szCs w:val="22"/>
            <w:rtl w:val="0"/>
          </w:rPr>
          <w:t xml:space="preserve">SET</w:t>
        </w:r>
      </w:hyperlink>
      <w:hyperlink r:id="rId34">
        <w:r w:rsidDel="00000000" w:rsidR="00000000" w:rsidRPr="00000000">
          <w:rPr>
            <w:rFonts w:ascii="Calibri" w:cs="Calibri" w:eastAsia="Calibri" w:hAnsi="Calibri"/>
            <w:sz w:val="22"/>
            <w:szCs w:val="22"/>
            <w:rtl w:val="0"/>
          </w:rPr>
          <w:t xml:space="preserve">, </w:t>
        </w:r>
      </w:hyperlink>
      <w:hyperlink r:id="rId35">
        <w:r w:rsidDel="00000000" w:rsidR="00000000" w:rsidRPr="00000000">
          <w:rPr>
            <w:rFonts w:ascii="Calibri" w:cs="Calibri" w:eastAsia="Calibri" w:hAnsi="Calibri"/>
            <w:i w:val="1"/>
            <w:iCs w:val="1"/>
            <w:sz w:val="22"/>
            <w:szCs w:val="22"/>
            <w:rtl w:val="0"/>
          </w:rPr>
          <w:t xml:space="preserve">1</w:t>
        </w:r>
      </w:hyperlink>
      <w:hyperlink r:id="rId36">
        <w:r w:rsidDel="00000000" w:rsidR="00000000" w:rsidRPr="00000000">
          <w:rPr>
            <w:rFonts w:ascii="Calibri" w:cs="Calibri" w:eastAsia="Calibri" w:hAnsi="Calibri"/>
            <w:sz w:val="22"/>
            <w:szCs w:val="22"/>
            <w:rtl w:val="0"/>
          </w:rPr>
          <w:t xml:space="preserve">(002). Contemporary education 2 </w:t>
        </w:r>
      </w:hyperlink>
      <w:r w:rsidDel="00000000" w:rsidR="00000000" w:rsidRPr="00000000">
        <w:rPr>
          <w:rtl w:val="0"/>
        </w:rPr>
      </w:r>
    </w:p>
    <w:p w:rsidR="00000000" w:rsidDel="00000000" w:rsidP="00000000" w:rsidRDefault="00000000" w:rsidRPr="00000000" w14:paraId="00000027">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8">
      <w:pPr>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Keywords:</w:t>
      </w:r>
      <w:r w:rsidDel="00000000" w:rsidR="00000000" w:rsidRPr="00000000">
        <w:rPr>
          <w:rFonts w:ascii="Calibri" w:cs="Calibri" w:eastAsia="Calibri" w:hAnsi="Calibri"/>
          <w:sz w:val="22"/>
          <w:szCs w:val="22"/>
          <w:rtl w:val="0"/>
        </w:rPr>
        <w:t xml:space="preserve"> Career uncertainty; mana; rural; career education</w:t>
      </w:r>
    </w:p>
    <w:sectPr>
      <w:pgSz w:h="16838" w:w="11906" w:orient="portrait"/>
      <w:pgMar w:bottom="850.3937007874016" w:top="850.3937007874016"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b w:val="1"/>
      <w:bCs w:val="1"/>
      <w:sz w:val="32"/>
      <w:szCs w:val="32"/>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lineRule="auto"/>
    </w:pPr>
    <w:rPr>
      <w:b w:val="1"/>
      <w:bCs w:val="1"/>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zotero.org/google-docs/?3n6Xpe" TargetMode="External"/><Relationship Id="rId22" Type="http://schemas.openxmlformats.org/officeDocument/2006/relationships/hyperlink" Target="https://www.zotero.org/google-docs/?3n6Xpe" TargetMode="External"/><Relationship Id="rId21" Type="http://schemas.openxmlformats.org/officeDocument/2006/relationships/hyperlink" Target="https://www.zotero.org/google-docs/?3n6Xpe" TargetMode="External"/><Relationship Id="rId24" Type="http://schemas.openxmlformats.org/officeDocument/2006/relationships/hyperlink" Target="https://www.zotero.org/google-docs/?3n6Xpe" TargetMode="External"/><Relationship Id="rId23" Type="http://schemas.openxmlformats.org/officeDocument/2006/relationships/hyperlink" Target="https://www.zotero.org/google-docs/?3n6Xp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26" Type="http://schemas.openxmlformats.org/officeDocument/2006/relationships/hyperlink" Target="https://www.zotero.org/google-docs/?WQrg7D" TargetMode="External"/><Relationship Id="rId25" Type="http://schemas.openxmlformats.org/officeDocument/2006/relationships/hyperlink" Target="https://www.zotero.org/google-docs/?3n6Xpe" TargetMode="External"/><Relationship Id="rId28" Type="http://schemas.openxmlformats.org/officeDocument/2006/relationships/hyperlink" Target="https://www.zotero.org/google-docs/?WQrg7D" TargetMode="External"/><Relationship Id="rId27" Type="http://schemas.openxmlformats.org/officeDocument/2006/relationships/hyperlink" Target="https://www.zotero.org/google-docs/?WQrg7D" TargetMode="External"/><Relationship Id="rId5" Type="http://schemas.openxmlformats.org/officeDocument/2006/relationships/styles" Target="styles.xml"/><Relationship Id="rId6" Type="http://schemas.openxmlformats.org/officeDocument/2006/relationships/hyperlink" Target="https://www.zotero.org/google-docs/?3n6Xpe" TargetMode="External"/><Relationship Id="rId29" Type="http://schemas.openxmlformats.org/officeDocument/2006/relationships/hyperlink" Target="https://doi.org/10.1787/e89c3da9-en" TargetMode="External"/><Relationship Id="rId7" Type="http://schemas.openxmlformats.org/officeDocument/2006/relationships/hyperlink" Target="https://www.zotero.org/google-docs/?3n6Xpe" TargetMode="External"/><Relationship Id="rId8" Type="http://schemas.openxmlformats.org/officeDocument/2006/relationships/hyperlink" Target="https://www.zotero.org/google-docs/?3n6Xpe" TargetMode="External"/><Relationship Id="rId31" Type="http://schemas.openxmlformats.org/officeDocument/2006/relationships/hyperlink" Target="http://doi.org/10.1016/j.sbspro.2012.01.105" TargetMode="External"/><Relationship Id="rId30" Type="http://schemas.openxmlformats.org/officeDocument/2006/relationships/hyperlink" Target="https://www.zotero.org/google-docs/?WQrg7D" TargetMode="External"/><Relationship Id="rId11" Type="http://schemas.openxmlformats.org/officeDocument/2006/relationships/hyperlink" Target="https://www.zotero.org/google-docs/?3n6Xpe" TargetMode="External"/><Relationship Id="rId33" Type="http://schemas.openxmlformats.org/officeDocument/2006/relationships/hyperlink" Target="https://www.zotero.org/google-docs/?3n6Xpe" TargetMode="External"/><Relationship Id="rId10" Type="http://schemas.openxmlformats.org/officeDocument/2006/relationships/hyperlink" Target="https://www.zotero.org/google-docs/?3n6Xpe" TargetMode="External"/><Relationship Id="rId32" Type="http://schemas.openxmlformats.org/officeDocument/2006/relationships/hyperlink" Target="https://www.zotero.org/google-docs/?3n6Xpe" TargetMode="External"/><Relationship Id="rId13" Type="http://schemas.openxmlformats.org/officeDocument/2006/relationships/hyperlink" Target="https://www.zotero.org/google-docs/?3n6Xpe" TargetMode="External"/><Relationship Id="rId35" Type="http://schemas.openxmlformats.org/officeDocument/2006/relationships/hyperlink" Target="https://www.zotero.org/google-docs/?3n6Xpe" TargetMode="External"/><Relationship Id="rId12" Type="http://schemas.openxmlformats.org/officeDocument/2006/relationships/hyperlink" Target="https://www.zotero.org/google-docs/?3n6Xpe" TargetMode="External"/><Relationship Id="rId34" Type="http://schemas.openxmlformats.org/officeDocument/2006/relationships/hyperlink" Target="https://www.zotero.org/google-docs/?3n6Xpe" TargetMode="External"/><Relationship Id="rId15" Type="http://schemas.openxmlformats.org/officeDocument/2006/relationships/hyperlink" Target="https://www.zotero.org/google-docs/?3n6Xpe" TargetMode="External"/><Relationship Id="rId14" Type="http://schemas.openxmlformats.org/officeDocument/2006/relationships/hyperlink" Target="https://www.zotero.org/google-docs/?3n6Xpe" TargetMode="External"/><Relationship Id="rId36" Type="http://schemas.openxmlformats.org/officeDocument/2006/relationships/hyperlink" Target="https://www.zotero.org/google-docs/?3n6Xpe" TargetMode="External"/><Relationship Id="rId17" Type="http://schemas.openxmlformats.org/officeDocument/2006/relationships/hyperlink" Target="https://www.zotero.org/google-docs/?3n6Xpe" TargetMode="External"/><Relationship Id="rId16" Type="http://schemas.openxmlformats.org/officeDocument/2006/relationships/hyperlink" Target="https://www.zotero.org/google-docs/?3n6Xpe" TargetMode="External"/><Relationship Id="rId19" Type="http://schemas.openxmlformats.org/officeDocument/2006/relationships/hyperlink" Target="https://www.zotero.org/google-docs/?3n6Xpe" TargetMode="External"/><Relationship Id="rId18" Type="http://schemas.openxmlformats.org/officeDocument/2006/relationships/hyperlink" Target="https://www.zotero.org/google-docs/?3n6X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