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AC93C" w14:textId="77777777" w:rsidR="00A01A6F" w:rsidRPr="005609D4" w:rsidRDefault="00A01A6F" w:rsidP="00A01A6F">
      <w:pPr>
        <w:spacing w:line="480" w:lineRule="auto"/>
        <w:rPr>
          <w:rFonts w:ascii="Calibri" w:hAnsi="Calibri" w:cs="Calibri"/>
          <w:b/>
          <w:bCs/>
          <w:sz w:val="22"/>
          <w:szCs w:val="22"/>
          <w:lang w:val="en-US"/>
        </w:rPr>
      </w:pPr>
      <w:r w:rsidRPr="005609D4">
        <w:rPr>
          <w:rFonts w:ascii="Calibri" w:hAnsi="Calibri" w:cs="Calibri"/>
          <w:b/>
          <w:bCs/>
          <w:sz w:val="22"/>
          <w:szCs w:val="22"/>
          <w:lang w:val="en-US"/>
        </w:rPr>
        <w:t>Title:</w:t>
      </w:r>
    </w:p>
    <w:p w14:paraId="2C26F98F" w14:textId="77777777" w:rsidR="00A01A6F" w:rsidRPr="005609D4" w:rsidRDefault="00A01A6F" w:rsidP="00A01A6F">
      <w:pPr>
        <w:spacing w:line="480" w:lineRule="auto"/>
        <w:rPr>
          <w:rFonts w:ascii="Calibri" w:hAnsi="Calibri" w:cs="Calibri"/>
          <w:sz w:val="22"/>
          <w:szCs w:val="22"/>
          <w:lang w:val="en-US"/>
        </w:rPr>
      </w:pPr>
      <w:r w:rsidRPr="005609D4">
        <w:rPr>
          <w:rFonts w:ascii="Calibri" w:hAnsi="Calibri" w:cs="Calibri"/>
          <w:sz w:val="22"/>
          <w:szCs w:val="22"/>
          <w:lang w:val="en-US"/>
        </w:rPr>
        <w:t>Shifting intentions: A 2020-2025 comparison of Canadian post-secondaries publicly-stated experiential learning outcomes</w:t>
      </w:r>
    </w:p>
    <w:p w14:paraId="6E40B90A" w14:textId="77777777" w:rsidR="00A01A6F" w:rsidRPr="005609D4" w:rsidRDefault="00A01A6F" w:rsidP="00A01A6F">
      <w:pPr>
        <w:spacing w:line="480" w:lineRule="auto"/>
        <w:rPr>
          <w:rFonts w:ascii="Calibri" w:hAnsi="Calibri" w:cs="Calibri"/>
          <w:sz w:val="22"/>
          <w:szCs w:val="22"/>
          <w:lang w:val="en-US"/>
        </w:rPr>
      </w:pPr>
    </w:p>
    <w:p w14:paraId="4407A985" w14:textId="77777777" w:rsidR="00A01A6F" w:rsidRPr="005609D4" w:rsidRDefault="00A01A6F" w:rsidP="00A01A6F">
      <w:pPr>
        <w:spacing w:line="480" w:lineRule="auto"/>
        <w:rPr>
          <w:rFonts w:ascii="Calibri" w:hAnsi="Calibri" w:cs="Calibri"/>
          <w:b/>
          <w:bCs/>
          <w:sz w:val="22"/>
          <w:szCs w:val="22"/>
          <w:lang w:val="en-US"/>
        </w:rPr>
      </w:pPr>
      <w:r w:rsidRPr="005609D4">
        <w:rPr>
          <w:rFonts w:ascii="Calibri" w:hAnsi="Calibri" w:cs="Calibri"/>
          <w:b/>
          <w:bCs/>
          <w:sz w:val="22"/>
          <w:szCs w:val="22"/>
          <w:lang w:val="en-US"/>
        </w:rPr>
        <w:t>Conference Theme:</w:t>
      </w:r>
    </w:p>
    <w:p w14:paraId="74FF3AF0" w14:textId="77777777" w:rsidR="00A01A6F" w:rsidRPr="005609D4" w:rsidRDefault="00A01A6F" w:rsidP="00A01A6F">
      <w:pPr>
        <w:spacing w:line="480" w:lineRule="auto"/>
        <w:rPr>
          <w:rFonts w:ascii="Calibri" w:hAnsi="Calibri" w:cs="Calibri"/>
          <w:sz w:val="22"/>
          <w:szCs w:val="22"/>
        </w:rPr>
      </w:pPr>
      <w:r w:rsidRPr="005609D4">
        <w:rPr>
          <w:rFonts w:ascii="Calibri" w:hAnsi="Calibri" w:cs="Calibri"/>
          <w:sz w:val="22"/>
          <w:szCs w:val="22"/>
        </w:rPr>
        <w:t xml:space="preserve">We tie our work to the conference theme of </w:t>
      </w:r>
      <w:r w:rsidRPr="005609D4">
        <w:rPr>
          <w:rFonts w:ascii="Calibri" w:hAnsi="Calibri" w:cs="Calibri"/>
          <w:i/>
          <w:iCs/>
          <w:sz w:val="22"/>
          <w:szCs w:val="22"/>
        </w:rPr>
        <w:t xml:space="preserve">Research - </w:t>
      </w:r>
      <w:proofErr w:type="spellStart"/>
      <w:r w:rsidRPr="005609D4">
        <w:rPr>
          <w:rFonts w:ascii="Calibri" w:hAnsi="Calibri" w:cs="Calibri"/>
          <w:i/>
          <w:iCs/>
          <w:sz w:val="22"/>
          <w:szCs w:val="22"/>
        </w:rPr>
        <w:t>Hiwa-i-te-rangi</w:t>
      </w:r>
      <w:proofErr w:type="spellEnd"/>
      <w:r w:rsidRPr="005609D4">
        <w:rPr>
          <w:rFonts w:ascii="Calibri" w:hAnsi="Calibri" w:cs="Calibri"/>
          <w:i/>
          <w:iCs/>
          <w:sz w:val="22"/>
          <w:szCs w:val="22"/>
        </w:rPr>
        <w:t xml:space="preserve"> </w:t>
      </w:r>
      <w:r w:rsidRPr="005609D4">
        <w:rPr>
          <w:rFonts w:ascii="Calibri" w:hAnsi="Calibri" w:cs="Calibri"/>
          <w:sz w:val="22"/>
          <w:szCs w:val="22"/>
        </w:rPr>
        <w:t xml:space="preserve">as we believe our work </w:t>
      </w:r>
      <w:r w:rsidRPr="005609D4">
        <w:rPr>
          <w:rFonts w:ascii="Calibri" w:hAnsi="Calibri" w:cs="Calibri"/>
          <w:sz w:val="22"/>
          <w:szCs w:val="22"/>
        </w:rPr>
        <w:t>is important</w:t>
      </w:r>
      <w:r w:rsidRPr="005609D4">
        <w:rPr>
          <w:rFonts w:ascii="Calibri" w:hAnsi="Calibri" w:cs="Calibri"/>
          <w:sz w:val="22"/>
          <w:szCs w:val="22"/>
        </w:rPr>
        <w:t xml:space="preserve"> in </w:t>
      </w:r>
      <w:r w:rsidRPr="005609D4">
        <w:rPr>
          <w:rFonts w:ascii="Calibri" w:hAnsi="Calibri" w:cs="Calibri"/>
          <w:sz w:val="22"/>
          <w:szCs w:val="22"/>
        </w:rPr>
        <w:t xml:space="preserve">helping clarify </w:t>
      </w:r>
      <w:r w:rsidRPr="005609D4">
        <w:rPr>
          <w:rFonts w:ascii="Calibri" w:hAnsi="Calibri" w:cs="Calibri"/>
          <w:sz w:val="22"/>
          <w:szCs w:val="22"/>
        </w:rPr>
        <w:t xml:space="preserve">the aspirations, dreams, and achieving of goals for </w:t>
      </w:r>
      <w:r w:rsidRPr="005609D4">
        <w:rPr>
          <w:rFonts w:ascii="Calibri" w:hAnsi="Calibri" w:cs="Calibri"/>
          <w:sz w:val="22"/>
          <w:szCs w:val="22"/>
        </w:rPr>
        <w:t xml:space="preserve">work-integrated learning (WIL) and experiential learning (EL) offerings. Importantly, our work brings clarity for WIL and EL stakeholders as they establish feasible goals for students, institutions and employers. </w:t>
      </w:r>
    </w:p>
    <w:p w14:paraId="7E851167" w14:textId="77777777" w:rsidR="00A01A6F" w:rsidRPr="005609D4" w:rsidRDefault="00A01A6F" w:rsidP="00A01A6F">
      <w:pPr>
        <w:spacing w:line="480" w:lineRule="auto"/>
        <w:rPr>
          <w:rFonts w:ascii="Calibri" w:hAnsi="Calibri" w:cs="Calibri"/>
          <w:sz w:val="22"/>
          <w:szCs w:val="22"/>
          <w:lang w:val="en-US"/>
        </w:rPr>
      </w:pPr>
    </w:p>
    <w:p w14:paraId="51F9A550" w14:textId="77777777" w:rsidR="00A01A6F" w:rsidRPr="005609D4" w:rsidRDefault="00A01A6F" w:rsidP="00A01A6F">
      <w:pPr>
        <w:spacing w:line="480" w:lineRule="auto"/>
        <w:rPr>
          <w:rFonts w:ascii="Calibri" w:hAnsi="Calibri" w:cs="Calibri"/>
          <w:b/>
          <w:bCs/>
          <w:sz w:val="22"/>
          <w:szCs w:val="22"/>
          <w:lang w:val="en-US"/>
        </w:rPr>
      </w:pPr>
      <w:r w:rsidRPr="005609D4">
        <w:rPr>
          <w:rFonts w:ascii="Calibri" w:hAnsi="Calibri" w:cs="Calibri"/>
          <w:b/>
          <w:bCs/>
          <w:sz w:val="22"/>
          <w:szCs w:val="22"/>
          <w:lang w:val="en-US"/>
        </w:rPr>
        <w:t>Abstract:</w:t>
      </w:r>
    </w:p>
    <w:p w14:paraId="7147C281" w14:textId="21A0F730" w:rsidR="00A01A6F" w:rsidRPr="005609D4" w:rsidRDefault="00A01A6F" w:rsidP="00A01A6F">
      <w:pPr>
        <w:spacing w:line="480" w:lineRule="auto"/>
        <w:rPr>
          <w:rFonts w:ascii="Calibri" w:hAnsi="Calibri" w:cs="Calibri"/>
          <w:sz w:val="22"/>
          <w:szCs w:val="22"/>
        </w:rPr>
      </w:pPr>
      <w:r w:rsidRPr="005609D4">
        <w:rPr>
          <w:rFonts w:ascii="Calibri" w:hAnsi="Calibri" w:cs="Calibri"/>
          <w:sz w:val="22"/>
          <w:szCs w:val="22"/>
        </w:rPr>
        <w:t>Higher education in Canada has undergone notable shifts in how institutions articulate the purposes of experiential and work-integrated learning. Building on our comprehensive 2020 dataset, this study conducts a comparative analysis between 2020 and 2025 of publicly stated experiential and work-integrated learning outcomes across 81 post-secondary institutions. Thematic coding of 2,817 intended outcomes quotes identifies growth in outcome statements and shifts toward technical and general skill development, career preparedness, and theory-practice integration, alongside a decrease in human and relationally oriented intended outcomes. These patterns highlight an increasing articulation of intentions and reflect a broader transformation in Canadian post-secondary education focus on skills and work integrated learning. By providing direct comparison of 81 institutions, this analysis contributes evidence of shifting educational priorities and contextual variation across institutional types and provinces</w:t>
      </w:r>
      <w:r w:rsidRPr="005609D4">
        <w:rPr>
          <w:rFonts w:ascii="Calibri" w:hAnsi="Calibri" w:cs="Calibri"/>
          <w:sz w:val="22"/>
          <w:szCs w:val="22"/>
        </w:rPr>
        <w:t>.</w:t>
      </w:r>
    </w:p>
    <w:p w14:paraId="68FDC3E6" w14:textId="77777777" w:rsidR="00A01A6F" w:rsidRPr="005609D4" w:rsidRDefault="00A01A6F" w:rsidP="00BA671D">
      <w:pPr>
        <w:spacing w:line="480" w:lineRule="auto"/>
        <w:rPr>
          <w:rFonts w:ascii="Calibri" w:hAnsi="Calibri" w:cs="Calibri"/>
          <w:b/>
          <w:bCs/>
          <w:sz w:val="22"/>
          <w:szCs w:val="22"/>
        </w:rPr>
      </w:pPr>
      <w:r w:rsidRPr="005609D4">
        <w:rPr>
          <w:rFonts w:ascii="Calibri" w:hAnsi="Calibri" w:cs="Calibri"/>
          <w:b/>
          <w:bCs/>
          <w:sz w:val="22"/>
          <w:szCs w:val="22"/>
        </w:rPr>
        <w:t>Key words:</w:t>
      </w:r>
    </w:p>
    <w:p w14:paraId="6A514444" w14:textId="77777777" w:rsidR="00A01A6F" w:rsidRPr="005609D4" w:rsidRDefault="00A01A6F" w:rsidP="00BA671D">
      <w:pPr>
        <w:spacing w:line="480" w:lineRule="auto"/>
        <w:rPr>
          <w:rFonts w:ascii="Calibri" w:hAnsi="Calibri" w:cs="Calibri"/>
          <w:sz w:val="22"/>
          <w:szCs w:val="22"/>
        </w:rPr>
      </w:pPr>
      <w:r w:rsidRPr="005609D4">
        <w:rPr>
          <w:rFonts w:ascii="Calibri" w:hAnsi="Calibri" w:cs="Calibri"/>
          <w:sz w:val="22"/>
          <w:szCs w:val="22"/>
        </w:rPr>
        <w:t>Experiential learning, post-secondary, intended outcomes</w:t>
      </w:r>
    </w:p>
    <w:p w14:paraId="4AB4CC41" w14:textId="77777777" w:rsidR="00A01A6F" w:rsidRPr="005609D4" w:rsidRDefault="00A01A6F" w:rsidP="00BA671D">
      <w:pPr>
        <w:spacing w:line="480" w:lineRule="auto"/>
        <w:rPr>
          <w:rFonts w:ascii="Calibri" w:hAnsi="Calibri" w:cs="Calibri"/>
          <w:sz w:val="22"/>
          <w:szCs w:val="22"/>
        </w:rPr>
      </w:pPr>
    </w:p>
    <w:p w14:paraId="150CB481" w14:textId="77777777" w:rsidR="00A01A6F" w:rsidRPr="005609D4" w:rsidRDefault="00A01A6F" w:rsidP="00BA671D">
      <w:pPr>
        <w:spacing w:line="480" w:lineRule="auto"/>
        <w:rPr>
          <w:rFonts w:ascii="Calibri" w:hAnsi="Calibri" w:cs="Calibri"/>
          <w:b/>
          <w:bCs/>
          <w:sz w:val="22"/>
          <w:szCs w:val="22"/>
        </w:rPr>
      </w:pPr>
      <w:r w:rsidRPr="005609D4">
        <w:rPr>
          <w:rFonts w:ascii="Calibri" w:hAnsi="Calibri" w:cs="Calibri"/>
          <w:b/>
          <w:bCs/>
          <w:sz w:val="22"/>
          <w:szCs w:val="22"/>
        </w:rPr>
        <w:lastRenderedPageBreak/>
        <w:t>Introduction</w:t>
      </w:r>
    </w:p>
    <w:p w14:paraId="6CAFE16B" w14:textId="0F0ABBAF" w:rsidR="00A01A6F" w:rsidRPr="005609D4" w:rsidRDefault="002D748A" w:rsidP="00BA671D">
      <w:pPr>
        <w:pStyle w:val="Heading1"/>
        <w:keepNext w:val="0"/>
        <w:keepLines w:val="0"/>
        <w:spacing w:before="0" w:after="0" w:line="480" w:lineRule="auto"/>
        <w:rPr>
          <w:rFonts w:ascii="Calibri" w:hAnsi="Calibri" w:cs="Calibri"/>
          <w:sz w:val="22"/>
          <w:szCs w:val="22"/>
        </w:rPr>
      </w:pPr>
      <w:r w:rsidRPr="005609D4">
        <w:rPr>
          <w:rFonts w:ascii="Calibri" w:hAnsi="Calibri" w:cs="Calibri"/>
          <w:sz w:val="22"/>
          <w:szCs w:val="22"/>
        </w:rPr>
        <w:t xml:space="preserve">Our interest in understanding what underlies publicly-stated work-integrated learning (WIL) and experiential learning (EL) intended outcomes by Canadian universities, polytechnics, and colleges (Canadian post-secondary institutions; PSIs) began from the premise that when WIL and EL experiences are well-designed, they can be transformative for student learning and help build meaningful relationships between students, PSIs, employers, and the wider community.  In </w:t>
      </w:r>
      <w:r w:rsidRPr="005609D4">
        <w:rPr>
          <w:rFonts w:ascii="Calibri" w:hAnsi="Calibri" w:cs="Calibri"/>
          <w:sz w:val="22"/>
          <w:szCs w:val="22"/>
        </w:rPr>
        <w:t>our presentation</w:t>
      </w:r>
      <w:r w:rsidRPr="005609D4">
        <w:rPr>
          <w:rFonts w:ascii="Calibri" w:hAnsi="Calibri" w:cs="Calibri"/>
          <w:sz w:val="22"/>
          <w:szCs w:val="22"/>
        </w:rPr>
        <w:t xml:space="preserve">, </w:t>
      </w:r>
      <w:r w:rsidRPr="005609D4">
        <w:rPr>
          <w:rFonts w:ascii="Calibri" w:hAnsi="Calibri" w:cs="Calibri"/>
          <w:sz w:val="22"/>
          <w:szCs w:val="22"/>
        </w:rPr>
        <w:t>we</w:t>
      </w:r>
      <w:r w:rsidRPr="005609D4">
        <w:rPr>
          <w:rFonts w:ascii="Calibri" w:hAnsi="Calibri" w:cs="Calibri"/>
          <w:sz w:val="22"/>
          <w:szCs w:val="22"/>
        </w:rPr>
        <w:t xml:space="preserve"> quantify and evidence the level of change in intentions for work-integrated and experiential learning over the past five years as stated in publicly available post-secondary websites and documents, relative to a comprehensive 2020 dataset (</w:t>
      </w:r>
      <w:proofErr w:type="spellStart"/>
      <w:r w:rsidRPr="005609D4">
        <w:rPr>
          <w:rFonts w:ascii="Calibri" w:hAnsi="Calibri" w:cs="Calibri"/>
          <w:sz w:val="22"/>
          <w:szCs w:val="22"/>
        </w:rPr>
        <w:t>Hoessler</w:t>
      </w:r>
      <w:proofErr w:type="spellEnd"/>
      <w:r w:rsidRPr="005609D4">
        <w:rPr>
          <w:rFonts w:ascii="Calibri" w:hAnsi="Calibri" w:cs="Calibri"/>
          <w:sz w:val="22"/>
          <w:szCs w:val="22"/>
        </w:rPr>
        <w:t xml:space="preserve"> &amp; Godden, 2021).  Societal and PSI shifts in the last 5 years, invited consideration for if and how the intended outcomes or purposes of EL and WIL stated by Canadian universities, polytechnics and colleges have changed.  </w:t>
      </w:r>
      <w:bookmarkStart w:id="0" w:name="_2y5bu3oix93b" w:colFirst="0" w:colLast="0"/>
      <w:bookmarkEnd w:id="0"/>
    </w:p>
    <w:p w14:paraId="3267BFB5" w14:textId="77777777" w:rsidR="00A01A6F" w:rsidRPr="005609D4" w:rsidRDefault="00A01A6F" w:rsidP="00BA671D">
      <w:pPr>
        <w:spacing w:line="480" w:lineRule="auto"/>
        <w:rPr>
          <w:rFonts w:ascii="Calibri" w:hAnsi="Calibri" w:cs="Calibri"/>
          <w:b/>
          <w:bCs/>
          <w:sz w:val="22"/>
          <w:szCs w:val="22"/>
        </w:rPr>
      </w:pPr>
      <w:r w:rsidRPr="005609D4">
        <w:rPr>
          <w:rFonts w:ascii="Calibri" w:hAnsi="Calibri" w:cs="Calibri"/>
          <w:b/>
          <w:bCs/>
          <w:sz w:val="22"/>
          <w:szCs w:val="22"/>
        </w:rPr>
        <w:t>Objectives</w:t>
      </w:r>
    </w:p>
    <w:p w14:paraId="6ECFC73F" w14:textId="054F9AD7" w:rsidR="00A01A6F" w:rsidRPr="005609D4" w:rsidRDefault="00BE69B9" w:rsidP="00BA671D">
      <w:pPr>
        <w:spacing w:line="480" w:lineRule="auto"/>
        <w:rPr>
          <w:rFonts w:ascii="Calibri" w:hAnsi="Calibri" w:cs="Calibri"/>
          <w:sz w:val="22"/>
          <w:szCs w:val="22"/>
        </w:rPr>
      </w:pPr>
      <w:r w:rsidRPr="005609D4">
        <w:rPr>
          <w:rFonts w:ascii="Calibri" w:hAnsi="Calibri" w:cs="Calibri"/>
          <w:sz w:val="22"/>
          <w:szCs w:val="22"/>
        </w:rPr>
        <w:t xml:space="preserve">The objectives of our study were to build </w:t>
      </w:r>
      <w:r w:rsidR="002D748A" w:rsidRPr="005609D4">
        <w:rPr>
          <w:rFonts w:ascii="Calibri" w:hAnsi="Calibri" w:cs="Calibri"/>
          <w:sz w:val="22"/>
          <w:szCs w:val="22"/>
        </w:rPr>
        <w:t xml:space="preserve">on our 2020 dataset and initial analysis of outcomes </w:t>
      </w:r>
      <w:r w:rsidRPr="005609D4">
        <w:rPr>
          <w:rFonts w:ascii="Calibri" w:hAnsi="Calibri" w:cs="Calibri"/>
          <w:sz w:val="22"/>
          <w:szCs w:val="22"/>
        </w:rPr>
        <w:t>and compare these to</w:t>
      </w:r>
      <w:r w:rsidR="002D748A" w:rsidRPr="005609D4">
        <w:rPr>
          <w:rFonts w:ascii="Calibri" w:hAnsi="Calibri" w:cs="Calibri"/>
          <w:sz w:val="22"/>
          <w:szCs w:val="22"/>
        </w:rPr>
        <w:t xml:space="preserve"> 2025 intended learning outcomes that </w:t>
      </w:r>
      <w:r w:rsidR="006631A0" w:rsidRPr="005609D4">
        <w:rPr>
          <w:rFonts w:ascii="Calibri" w:hAnsi="Calibri" w:cs="Calibri"/>
          <w:sz w:val="22"/>
          <w:szCs w:val="22"/>
        </w:rPr>
        <w:t>PSIs</w:t>
      </w:r>
      <w:r w:rsidR="002D748A" w:rsidRPr="005609D4">
        <w:rPr>
          <w:rFonts w:ascii="Calibri" w:hAnsi="Calibri" w:cs="Calibri"/>
          <w:sz w:val="22"/>
          <w:szCs w:val="22"/>
        </w:rPr>
        <w:t xml:space="preserve"> publicly convey for experiential learning and work-integrated learning across a range of audiences and formats from reports to webpages.  </w:t>
      </w:r>
      <w:r w:rsidRPr="005609D4">
        <w:rPr>
          <w:rFonts w:ascii="Calibri" w:hAnsi="Calibri" w:cs="Calibri"/>
          <w:sz w:val="22"/>
          <w:szCs w:val="22"/>
        </w:rPr>
        <w:t>We found v</w:t>
      </w:r>
      <w:r w:rsidR="002D748A" w:rsidRPr="005609D4">
        <w:rPr>
          <w:rFonts w:ascii="Calibri" w:hAnsi="Calibri" w:cs="Calibri"/>
          <w:sz w:val="22"/>
          <w:szCs w:val="22"/>
        </w:rPr>
        <w:t xml:space="preserve">ariation in the 34 identified outcomes, and across provinces/territories and institution types </w:t>
      </w:r>
      <w:r w:rsidR="006631A0" w:rsidRPr="005609D4">
        <w:rPr>
          <w:rFonts w:ascii="Calibri" w:hAnsi="Calibri" w:cs="Calibri"/>
          <w:sz w:val="22"/>
          <w:szCs w:val="22"/>
        </w:rPr>
        <w:t xml:space="preserve">that </w:t>
      </w:r>
      <w:r w:rsidR="002D748A" w:rsidRPr="005609D4">
        <w:rPr>
          <w:rFonts w:ascii="Calibri" w:hAnsi="Calibri" w:cs="Calibri"/>
          <w:sz w:val="22"/>
          <w:szCs w:val="22"/>
        </w:rPr>
        <w:t>we</w:t>
      </w:r>
      <w:r w:rsidR="002D748A" w:rsidRPr="005609D4">
        <w:rPr>
          <w:rFonts w:ascii="Calibri" w:hAnsi="Calibri" w:cs="Calibri"/>
          <w:sz w:val="22"/>
          <w:szCs w:val="22"/>
        </w:rPr>
        <w:t>re explored</w:t>
      </w:r>
      <w:r w:rsidR="006631A0" w:rsidRPr="005609D4">
        <w:rPr>
          <w:rFonts w:ascii="Calibri" w:hAnsi="Calibri" w:cs="Calibri"/>
          <w:sz w:val="22"/>
          <w:szCs w:val="22"/>
        </w:rPr>
        <w:t>, we</w:t>
      </w:r>
      <w:r w:rsidR="002D748A" w:rsidRPr="005609D4">
        <w:rPr>
          <w:rFonts w:ascii="Calibri" w:hAnsi="Calibri" w:cs="Calibri"/>
          <w:sz w:val="22"/>
          <w:szCs w:val="22"/>
        </w:rPr>
        <w:t xml:space="preserve"> contextualiz</w:t>
      </w:r>
      <w:r w:rsidR="006631A0" w:rsidRPr="005609D4">
        <w:rPr>
          <w:rFonts w:ascii="Calibri" w:hAnsi="Calibri" w:cs="Calibri"/>
          <w:sz w:val="22"/>
          <w:szCs w:val="22"/>
        </w:rPr>
        <w:t>e</w:t>
      </w:r>
      <w:r w:rsidR="002D748A" w:rsidRPr="005609D4">
        <w:rPr>
          <w:rFonts w:ascii="Calibri" w:hAnsi="Calibri" w:cs="Calibri"/>
          <w:sz w:val="22"/>
          <w:szCs w:val="22"/>
        </w:rPr>
        <w:t xml:space="preserve"> </w:t>
      </w:r>
      <w:r w:rsidR="006631A0" w:rsidRPr="005609D4">
        <w:rPr>
          <w:rFonts w:ascii="Calibri" w:hAnsi="Calibri" w:cs="Calibri"/>
          <w:sz w:val="22"/>
          <w:szCs w:val="22"/>
        </w:rPr>
        <w:t>within</w:t>
      </w:r>
      <w:r w:rsidR="002D748A" w:rsidRPr="005609D4">
        <w:rPr>
          <w:rFonts w:ascii="Calibri" w:hAnsi="Calibri" w:cs="Calibri"/>
          <w:sz w:val="22"/>
          <w:szCs w:val="22"/>
        </w:rPr>
        <w:t xml:space="preserve"> the larger shifts in post-secondary education</w:t>
      </w:r>
      <w:r w:rsidR="006631A0" w:rsidRPr="005609D4">
        <w:rPr>
          <w:rFonts w:ascii="Calibri" w:hAnsi="Calibri" w:cs="Calibri"/>
          <w:sz w:val="22"/>
          <w:szCs w:val="22"/>
        </w:rPr>
        <w:t xml:space="preserve"> seen in Canada</w:t>
      </w:r>
      <w:r w:rsidR="002D748A" w:rsidRPr="005609D4">
        <w:rPr>
          <w:rFonts w:ascii="Calibri" w:hAnsi="Calibri" w:cs="Calibri"/>
          <w:sz w:val="22"/>
          <w:szCs w:val="22"/>
        </w:rPr>
        <w:t>.</w:t>
      </w:r>
      <w:r w:rsidR="006631A0" w:rsidRPr="005609D4">
        <w:rPr>
          <w:rFonts w:ascii="Calibri" w:hAnsi="Calibri" w:cs="Calibri"/>
          <w:sz w:val="22"/>
          <w:szCs w:val="22"/>
        </w:rPr>
        <w:t xml:space="preserve"> The objectives of our presentation are to present our findings and situate this in a broader global context of how we can ensure that WIL and EL are clearly identifying and considering intended outcomes as we design WIL and EL experiences.</w:t>
      </w:r>
    </w:p>
    <w:p w14:paraId="341BC049" w14:textId="77777777" w:rsidR="00A01A6F" w:rsidRPr="005609D4" w:rsidRDefault="00A01A6F" w:rsidP="00BA671D">
      <w:pPr>
        <w:spacing w:line="480" w:lineRule="auto"/>
        <w:rPr>
          <w:rFonts w:ascii="Calibri" w:hAnsi="Calibri" w:cs="Calibri"/>
          <w:b/>
          <w:bCs/>
          <w:sz w:val="22"/>
          <w:szCs w:val="22"/>
          <w:lang w:val="en-US"/>
        </w:rPr>
      </w:pPr>
      <w:r w:rsidRPr="005609D4">
        <w:rPr>
          <w:rFonts w:ascii="Calibri" w:hAnsi="Calibri" w:cs="Calibri"/>
          <w:b/>
          <w:bCs/>
          <w:sz w:val="22"/>
          <w:szCs w:val="22"/>
          <w:lang w:val="en-US"/>
        </w:rPr>
        <w:t>Theoretical Basis</w:t>
      </w:r>
    </w:p>
    <w:p w14:paraId="210B3FAF" w14:textId="7DDA278A" w:rsidR="002D748A" w:rsidRPr="005609D4" w:rsidRDefault="002D748A" w:rsidP="00BA671D">
      <w:pPr>
        <w:pStyle w:val="Heading1"/>
        <w:keepNext w:val="0"/>
        <w:keepLines w:val="0"/>
        <w:spacing w:before="0" w:after="0" w:line="480" w:lineRule="auto"/>
        <w:rPr>
          <w:rFonts w:ascii="Calibri" w:hAnsi="Calibri" w:cs="Calibri"/>
          <w:sz w:val="22"/>
          <w:szCs w:val="22"/>
        </w:rPr>
      </w:pPr>
      <w:r w:rsidRPr="005609D4">
        <w:rPr>
          <w:rFonts w:ascii="Calibri" w:hAnsi="Calibri" w:cs="Calibri"/>
          <w:sz w:val="22"/>
          <w:szCs w:val="22"/>
        </w:rPr>
        <w:t xml:space="preserve">Since 2020, Canadian </w:t>
      </w:r>
      <w:r w:rsidR="006631A0" w:rsidRPr="005609D4">
        <w:rPr>
          <w:rFonts w:ascii="Calibri" w:hAnsi="Calibri" w:cs="Calibri"/>
          <w:sz w:val="22"/>
          <w:szCs w:val="22"/>
        </w:rPr>
        <w:t>post-secondary institutions are facing many challenges including navigation</w:t>
      </w:r>
      <w:r w:rsidRPr="005609D4">
        <w:rPr>
          <w:rFonts w:ascii="Calibri" w:hAnsi="Calibri" w:cs="Calibri"/>
          <w:sz w:val="22"/>
          <w:szCs w:val="22"/>
        </w:rPr>
        <w:t xml:space="preserve"> back to in person </w:t>
      </w:r>
      <w:r w:rsidR="006631A0" w:rsidRPr="005609D4">
        <w:rPr>
          <w:rFonts w:ascii="Calibri" w:hAnsi="Calibri" w:cs="Calibri"/>
          <w:sz w:val="22"/>
          <w:szCs w:val="22"/>
        </w:rPr>
        <w:t xml:space="preserve">teaching and learning </w:t>
      </w:r>
      <w:r w:rsidRPr="005609D4">
        <w:rPr>
          <w:rFonts w:ascii="Calibri" w:hAnsi="Calibri" w:cs="Calibri"/>
          <w:sz w:val="22"/>
          <w:szCs w:val="22"/>
        </w:rPr>
        <w:t xml:space="preserve">post-pandemic, </w:t>
      </w:r>
      <w:r w:rsidR="006631A0" w:rsidRPr="005609D4">
        <w:rPr>
          <w:rFonts w:ascii="Calibri" w:hAnsi="Calibri" w:cs="Calibri"/>
          <w:sz w:val="22"/>
          <w:szCs w:val="22"/>
        </w:rPr>
        <w:t>the</w:t>
      </w:r>
      <w:r w:rsidRPr="005609D4">
        <w:rPr>
          <w:rFonts w:ascii="Calibri" w:hAnsi="Calibri" w:cs="Calibri"/>
          <w:sz w:val="22"/>
          <w:szCs w:val="22"/>
        </w:rPr>
        <w:t xml:space="preserve"> continuing </w:t>
      </w:r>
      <w:r w:rsidR="006631A0" w:rsidRPr="005609D4">
        <w:rPr>
          <w:rFonts w:ascii="Calibri" w:hAnsi="Calibri" w:cs="Calibri"/>
          <w:sz w:val="22"/>
          <w:szCs w:val="22"/>
        </w:rPr>
        <w:t xml:space="preserve">need </w:t>
      </w:r>
      <w:r w:rsidRPr="005609D4">
        <w:rPr>
          <w:rFonts w:ascii="Calibri" w:hAnsi="Calibri" w:cs="Calibri"/>
          <w:sz w:val="22"/>
          <w:szCs w:val="22"/>
        </w:rPr>
        <w:t xml:space="preserve">to respond to the increased role of artificial intelligence in educational settings (KPMG, 2025), changes in student enrolment (Usher &amp; </w:t>
      </w:r>
      <w:r w:rsidRPr="005609D4">
        <w:rPr>
          <w:rFonts w:ascii="Calibri" w:hAnsi="Calibri" w:cs="Calibri"/>
          <w:sz w:val="22"/>
          <w:szCs w:val="22"/>
        </w:rPr>
        <w:lastRenderedPageBreak/>
        <w:t xml:space="preserve">Balfour, 2024), federal reduction in international students and many other complex financial strains that are placing </w:t>
      </w:r>
      <w:r w:rsidR="006631A0" w:rsidRPr="005609D4">
        <w:rPr>
          <w:rFonts w:ascii="Calibri" w:hAnsi="Calibri" w:cs="Calibri"/>
          <w:sz w:val="22"/>
          <w:szCs w:val="22"/>
        </w:rPr>
        <w:t>PSIs</w:t>
      </w:r>
      <w:r w:rsidRPr="005609D4">
        <w:rPr>
          <w:rFonts w:ascii="Calibri" w:hAnsi="Calibri" w:cs="Calibri"/>
          <w:sz w:val="22"/>
          <w:szCs w:val="22"/>
        </w:rPr>
        <w:t xml:space="preserve"> at risk of needing to enact change if they are to continue their mandates (e.g., Statistics Canada, 2024; Usher, 2021; </w:t>
      </w:r>
      <w:proofErr w:type="spellStart"/>
      <w:r w:rsidRPr="005609D4">
        <w:rPr>
          <w:rFonts w:ascii="Calibri" w:hAnsi="Calibri" w:cs="Calibri"/>
          <w:sz w:val="22"/>
          <w:szCs w:val="22"/>
        </w:rPr>
        <w:t>Verdecchia</w:t>
      </w:r>
      <w:proofErr w:type="spellEnd"/>
      <w:r w:rsidRPr="005609D4">
        <w:rPr>
          <w:rFonts w:ascii="Calibri" w:hAnsi="Calibri" w:cs="Calibri"/>
          <w:sz w:val="22"/>
          <w:szCs w:val="22"/>
        </w:rPr>
        <w:t xml:space="preserve">, 2025).  </w:t>
      </w:r>
    </w:p>
    <w:p w14:paraId="00818B59" w14:textId="2728D6C2" w:rsidR="002D748A" w:rsidRPr="005609D4" w:rsidRDefault="006631A0" w:rsidP="00BA671D">
      <w:pPr>
        <w:spacing w:line="480" w:lineRule="auto"/>
        <w:ind w:firstLine="720"/>
        <w:rPr>
          <w:rFonts w:ascii="Calibri" w:hAnsi="Calibri" w:cs="Calibri"/>
          <w:sz w:val="22"/>
          <w:szCs w:val="22"/>
        </w:rPr>
      </w:pPr>
      <w:r w:rsidRPr="005609D4">
        <w:rPr>
          <w:rFonts w:ascii="Calibri" w:hAnsi="Calibri" w:cs="Calibri"/>
          <w:sz w:val="22"/>
          <w:szCs w:val="22"/>
        </w:rPr>
        <w:t>Recognizing the important role WIL and EL play in supporting students to be career ready, g</w:t>
      </w:r>
      <w:r w:rsidR="002D748A" w:rsidRPr="005609D4">
        <w:rPr>
          <w:rFonts w:ascii="Calibri" w:hAnsi="Calibri" w:cs="Calibri"/>
          <w:sz w:val="22"/>
          <w:szCs w:val="22"/>
        </w:rPr>
        <w:t>overnment expenditure for increasing the availability of work-integrated learning (WIL) programs across Canadian post-secondary education (PSE) has increased significantly over the past 20 years (</w:t>
      </w:r>
      <w:proofErr w:type="spellStart"/>
      <w:r w:rsidR="002D748A" w:rsidRPr="005609D4">
        <w:rPr>
          <w:rFonts w:ascii="Calibri" w:hAnsi="Calibri" w:cs="Calibri"/>
          <w:sz w:val="22"/>
          <w:szCs w:val="22"/>
        </w:rPr>
        <w:t>Dreesha</w:t>
      </w:r>
      <w:proofErr w:type="spellEnd"/>
      <w:r w:rsidR="002D748A" w:rsidRPr="005609D4">
        <w:rPr>
          <w:rFonts w:ascii="Calibri" w:hAnsi="Calibri" w:cs="Calibri"/>
          <w:sz w:val="22"/>
          <w:szCs w:val="22"/>
        </w:rPr>
        <w:t xml:space="preserve"> et al., 2025).  For example, 17.1 </w:t>
      </w:r>
      <w:proofErr w:type="gramStart"/>
      <w:r w:rsidR="002D748A" w:rsidRPr="005609D4">
        <w:rPr>
          <w:rFonts w:ascii="Calibri" w:hAnsi="Calibri" w:cs="Calibri"/>
          <w:sz w:val="22"/>
          <w:szCs w:val="22"/>
        </w:rPr>
        <w:t>Million</w:t>
      </w:r>
      <w:proofErr w:type="gramEnd"/>
      <w:r w:rsidR="002D748A" w:rsidRPr="005609D4">
        <w:rPr>
          <w:rFonts w:ascii="Calibri" w:hAnsi="Calibri" w:cs="Calibri"/>
          <w:sz w:val="22"/>
          <w:szCs w:val="22"/>
        </w:rPr>
        <w:t xml:space="preserve"> CAD was awarded in 2022 to the Business and Higher Education Roundtable for them to facilitate 22,300 WIL opportunities and to generate new resources for strengthening Canadian WIL programs (</w:t>
      </w:r>
      <w:proofErr w:type="spellStart"/>
      <w:r w:rsidR="002D748A" w:rsidRPr="005609D4">
        <w:rPr>
          <w:rFonts w:ascii="Calibri" w:hAnsi="Calibri" w:cs="Calibri"/>
          <w:sz w:val="22"/>
          <w:szCs w:val="22"/>
        </w:rPr>
        <w:t>Romito</w:t>
      </w:r>
      <w:proofErr w:type="spellEnd"/>
      <w:r w:rsidR="002D748A" w:rsidRPr="005609D4">
        <w:rPr>
          <w:rFonts w:ascii="Calibri" w:hAnsi="Calibri" w:cs="Calibri"/>
          <w:sz w:val="22"/>
          <w:szCs w:val="22"/>
        </w:rPr>
        <w:t>, 2022).  Extra funding to encourage participation in WIL was announced by the Canadian Government in 2025 through 40,000 additional WIL opportunities through the Student Work Placement Program (SWPP) and financial support for an additional 8,000 students.  Data from Co-operative Education and Work-Integrated Learning Canada (CEWIL Canada) adds more support in how participation in WIL has increased over recent years.  For example, in 2022, 53 Canadian institutions reported offering 3,413 WIL programs (</w:t>
      </w:r>
      <w:proofErr w:type="spellStart"/>
      <w:r w:rsidR="002D748A" w:rsidRPr="005609D4">
        <w:rPr>
          <w:rFonts w:ascii="Calibri" w:hAnsi="Calibri" w:cs="Calibri"/>
          <w:sz w:val="22"/>
          <w:szCs w:val="22"/>
        </w:rPr>
        <w:t>Drewery</w:t>
      </w:r>
      <w:proofErr w:type="spellEnd"/>
      <w:r w:rsidR="002D748A" w:rsidRPr="005609D4">
        <w:rPr>
          <w:rFonts w:ascii="Calibri" w:hAnsi="Calibri" w:cs="Calibri"/>
          <w:sz w:val="22"/>
          <w:szCs w:val="22"/>
        </w:rPr>
        <w:t>, 2023), which grew to 83 institutions offering 6,217 WIL programs by the end of 2024 (</w:t>
      </w:r>
      <w:proofErr w:type="spellStart"/>
      <w:r w:rsidR="002D748A" w:rsidRPr="005609D4">
        <w:rPr>
          <w:rFonts w:ascii="Calibri" w:hAnsi="Calibri" w:cs="Calibri"/>
          <w:sz w:val="22"/>
          <w:szCs w:val="22"/>
        </w:rPr>
        <w:t>Drewery</w:t>
      </w:r>
      <w:proofErr w:type="spellEnd"/>
      <w:r w:rsidR="002D748A" w:rsidRPr="005609D4">
        <w:rPr>
          <w:rFonts w:ascii="Calibri" w:hAnsi="Calibri" w:cs="Calibri"/>
          <w:sz w:val="22"/>
          <w:szCs w:val="22"/>
        </w:rPr>
        <w:t>, 2025).  In particular, there was a 10.4% year-over year increase from the 5,633 WIL program count in 2023.  Most of the increase was due to new WIL programs across institutions, and some was due to better institutional reporting in 2024 than in 2023.</w:t>
      </w:r>
    </w:p>
    <w:p w14:paraId="6141C88B" w14:textId="34BA361B" w:rsidR="00BA671D" w:rsidRPr="005609D4" w:rsidRDefault="002D748A" w:rsidP="005609D4">
      <w:pPr>
        <w:spacing w:line="480" w:lineRule="auto"/>
        <w:ind w:firstLine="720"/>
        <w:rPr>
          <w:rFonts w:ascii="Calibri" w:hAnsi="Calibri" w:cs="Calibri"/>
          <w:b/>
          <w:bCs/>
          <w:sz w:val="22"/>
          <w:szCs w:val="22"/>
          <w:lang w:val="en-US"/>
        </w:rPr>
      </w:pPr>
      <w:r w:rsidRPr="005609D4">
        <w:rPr>
          <w:rFonts w:ascii="Calibri" w:hAnsi="Calibri" w:cs="Calibri"/>
          <w:sz w:val="22"/>
          <w:szCs w:val="22"/>
        </w:rPr>
        <w:t xml:space="preserve">The significant increases in Governmental funding </w:t>
      </w:r>
      <w:r w:rsidR="006631A0" w:rsidRPr="005609D4">
        <w:rPr>
          <w:rFonts w:ascii="Calibri" w:hAnsi="Calibri" w:cs="Calibri"/>
          <w:sz w:val="22"/>
          <w:szCs w:val="22"/>
        </w:rPr>
        <w:t>are</w:t>
      </w:r>
      <w:r w:rsidRPr="005609D4">
        <w:rPr>
          <w:rFonts w:ascii="Calibri" w:hAnsi="Calibri" w:cs="Calibri"/>
          <w:sz w:val="22"/>
          <w:szCs w:val="22"/>
        </w:rPr>
        <w:t xml:space="preserve"> rooted in WIL’s robust reputation as an effective mechanism for transferable skills development (</w:t>
      </w:r>
      <w:proofErr w:type="spellStart"/>
      <w:r w:rsidRPr="005609D4">
        <w:rPr>
          <w:rFonts w:ascii="Calibri" w:hAnsi="Calibri" w:cs="Calibri"/>
          <w:sz w:val="22"/>
          <w:szCs w:val="22"/>
        </w:rPr>
        <w:t>Dreesha</w:t>
      </w:r>
      <w:proofErr w:type="spellEnd"/>
      <w:r w:rsidRPr="005609D4">
        <w:rPr>
          <w:rFonts w:ascii="Calibri" w:hAnsi="Calibri" w:cs="Calibri"/>
          <w:sz w:val="22"/>
          <w:szCs w:val="22"/>
        </w:rPr>
        <w:t xml:space="preserve"> et al., 2025) and as a strategy to close any gaps between the </w:t>
      </w:r>
      <w:r w:rsidR="006631A0" w:rsidRPr="005609D4">
        <w:rPr>
          <w:rFonts w:ascii="Calibri" w:hAnsi="Calibri" w:cs="Calibri"/>
          <w:sz w:val="22"/>
          <w:szCs w:val="22"/>
        </w:rPr>
        <w:t>skills</w:t>
      </w:r>
      <w:r w:rsidRPr="005609D4">
        <w:rPr>
          <w:rFonts w:ascii="Calibri" w:hAnsi="Calibri" w:cs="Calibri"/>
          <w:sz w:val="22"/>
          <w:szCs w:val="22"/>
        </w:rPr>
        <w:t xml:space="preserve"> profiles of post-secondary graduates and the labour market they are entering (Jackson, 2014; Jackson &amp; Dean, 2022).  Having the opportunity to prepare for labour market entry aligns with why many students choose to attend post-secondary institutions</w:t>
      </w:r>
      <w:r w:rsidR="006631A0" w:rsidRPr="005609D4">
        <w:rPr>
          <w:rFonts w:ascii="Calibri" w:hAnsi="Calibri" w:cs="Calibri"/>
          <w:sz w:val="22"/>
          <w:szCs w:val="22"/>
        </w:rPr>
        <w:t xml:space="preserve"> in Canada</w:t>
      </w:r>
      <w:r w:rsidRPr="005609D4">
        <w:rPr>
          <w:rFonts w:ascii="Calibri" w:hAnsi="Calibri" w:cs="Calibri"/>
          <w:sz w:val="22"/>
          <w:szCs w:val="22"/>
        </w:rPr>
        <w:t xml:space="preserve">, as of 2023, 60% of learners choose to attend post-secondary to prepare to enter their preferred career (Crocker et al., </w:t>
      </w:r>
      <w:r w:rsidRPr="005609D4">
        <w:rPr>
          <w:rFonts w:ascii="Calibri" w:hAnsi="Calibri" w:cs="Calibri"/>
          <w:sz w:val="22"/>
          <w:szCs w:val="22"/>
        </w:rPr>
        <w:lastRenderedPageBreak/>
        <w:t xml:space="preserve">2024).  Research has demonstrated that WIL can make an effective contribution in supporting students career preparation, through helping students gain relevant work experience, practice and further develop their skills in real-life settings, and gain first-hand experience of allying their knowledge to practice (Pizarro </w:t>
      </w:r>
      <w:proofErr w:type="spellStart"/>
      <w:r w:rsidRPr="005609D4">
        <w:rPr>
          <w:rFonts w:ascii="Calibri" w:hAnsi="Calibri" w:cs="Calibri"/>
          <w:sz w:val="22"/>
          <w:szCs w:val="22"/>
        </w:rPr>
        <w:t>Milian</w:t>
      </w:r>
      <w:proofErr w:type="spellEnd"/>
      <w:r w:rsidRPr="005609D4">
        <w:rPr>
          <w:rFonts w:ascii="Calibri" w:hAnsi="Calibri" w:cs="Calibri"/>
          <w:sz w:val="22"/>
          <w:szCs w:val="22"/>
        </w:rPr>
        <w:t xml:space="preserve"> et al., 2021).  Acknowledging such positive outcomes, provincial Governments across Canada have increasingly tied the funding allocations for </w:t>
      </w:r>
      <w:r w:rsidR="006631A0" w:rsidRPr="005609D4">
        <w:rPr>
          <w:rFonts w:ascii="Calibri" w:hAnsi="Calibri" w:cs="Calibri"/>
          <w:sz w:val="22"/>
          <w:szCs w:val="22"/>
        </w:rPr>
        <w:t>PSIs</w:t>
      </w:r>
      <w:r w:rsidRPr="005609D4">
        <w:rPr>
          <w:rFonts w:ascii="Calibri" w:hAnsi="Calibri" w:cs="Calibri"/>
          <w:sz w:val="22"/>
          <w:szCs w:val="22"/>
        </w:rPr>
        <w:t xml:space="preserve"> to strategic mandates that include specific targets for skills development and career preparation (e.g., Government of British Columbia, 2025; Government of Ontario.  2020).  WIL features strongly as a target within the provincial strategic mandates, likely to WIL being perceived as a strong differentiator of employment rates and earnings post-graduation (Council of Ontario’s Universities, 2014; De </w:t>
      </w:r>
      <w:proofErr w:type="spellStart"/>
      <w:r w:rsidRPr="005609D4">
        <w:rPr>
          <w:rFonts w:ascii="Calibri" w:hAnsi="Calibri" w:cs="Calibri"/>
          <w:sz w:val="22"/>
          <w:szCs w:val="22"/>
        </w:rPr>
        <w:t>Raaf</w:t>
      </w:r>
      <w:proofErr w:type="spellEnd"/>
      <w:r w:rsidRPr="005609D4">
        <w:rPr>
          <w:rFonts w:ascii="Calibri" w:hAnsi="Calibri" w:cs="Calibri"/>
          <w:sz w:val="22"/>
          <w:szCs w:val="22"/>
        </w:rPr>
        <w:t xml:space="preserve"> et al., 2018).  With research, Government, and broader institutions such as CEWIL Canada pointing to the beneficial outcomes of WIL, our work examines how these influences might shape the intended outcomes that PSIs state </w:t>
      </w:r>
      <w:r w:rsidRPr="005609D4">
        <w:rPr>
          <w:rFonts w:ascii="Calibri" w:hAnsi="Calibri" w:cs="Calibri"/>
          <w:sz w:val="22"/>
          <w:szCs w:val="22"/>
        </w:rPr>
        <w:t>publicly</w:t>
      </w:r>
      <w:r w:rsidRPr="005609D4">
        <w:rPr>
          <w:rFonts w:ascii="Calibri" w:hAnsi="Calibri" w:cs="Calibri"/>
          <w:sz w:val="22"/>
          <w:szCs w:val="22"/>
        </w:rPr>
        <w:t xml:space="preserve"> for WIL, and whether these are shifting over time.</w:t>
      </w:r>
    </w:p>
    <w:p w14:paraId="504453A3" w14:textId="7C5EF09E" w:rsidR="00A01A6F" w:rsidRPr="005609D4" w:rsidRDefault="00A01A6F" w:rsidP="00BA671D">
      <w:pPr>
        <w:spacing w:line="480" w:lineRule="auto"/>
        <w:rPr>
          <w:rFonts w:ascii="Calibri" w:hAnsi="Calibri" w:cs="Calibri"/>
          <w:b/>
          <w:bCs/>
          <w:sz w:val="22"/>
          <w:szCs w:val="22"/>
          <w:lang w:val="en-US"/>
        </w:rPr>
      </w:pPr>
      <w:r w:rsidRPr="005609D4">
        <w:rPr>
          <w:rFonts w:ascii="Calibri" w:hAnsi="Calibri" w:cs="Calibri"/>
          <w:b/>
          <w:bCs/>
          <w:sz w:val="22"/>
          <w:szCs w:val="22"/>
          <w:lang w:val="en-US"/>
        </w:rPr>
        <w:t>Methodology</w:t>
      </w:r>
    </w:p>
    <w:p w14:paraId="684976A6" w14:textId="2641C29A" w:rsidR="002D748A" w:rsidRPr="005609D4" w:rsidRDefault="002D748A" w:rsidP="00BA671D">
      <w:pPr>
        <w:spacing w:line="480" w:lineRule="auto"/>
        <w:rPr>
          <w:rFonts w:ascii="Calibri" w:hAnsi="Calibri" w:cs="Calibri"/>
          <w:sz w:val="22"/>
          <w:szCs w:val="22"/>
        </w:rPr>
      </w:pPr>
      <w:r w:rsidRPr="005609D4">
        <w:rPr>
          <w:rFonts w:ascii="Calibri" w:hAnsi="Calibri" w:cs="Calibri"/>
          <w:sz w:val="22"/>
          <w:szCs w:val="22"/>
        </w:rPr>
        <w:t xml:space="preserve">The data </w:t>
      </w:r>
      <w:r w:rsidR="006631A0" w:rsidRPr="005609D4">
        <w:rPr>
          <w:rFonts w:ascii="Calibri" w:hAnsi="Calibri" w:cs="Calibri"/>
          <w:sz w:val="22"/>
          <w:szCs w:val="22"/>
        </w:rPr>
        <w:t>were</w:t>
      </w:r>
      <w:r w:rsidRPr="005609D4">
        <w:rPr>
          <w:rFonts w:ascii="Calibri" w:hAnsi="Calibri" w:cs="Calibri"/>
          <w:sz w:val="22"/>
          <w:szCs w:val="22"/>
        </w:rPr>
        <w:t xml:space="preserve"> collected in two time periods: July - August 2020 (labelled as 2020 in this article) and Oct 2025 - Jan 2025 (labelled as 2025 in this article).  Quotes for that time period were collected contemporaneously (during) the time period.  No retroactive collection occurred.</w:t>
      </w:r>
    </w:p>
    <w:p w14:paraId="4943B310" w14:textId="33B7731C" w:rsidR="00BA671D" w:rsidRPr="005609D4" w:rsidRDefault="002D748A" w:rsidP="00BA671D">
      <w:pPr>
        <w:spacing w:line="480" w:lineRule="auto"/>
        <w:ind w:firstLine="720"/>
        <w:rPr>
          <w:rFonts w:ascii="Calibri" w:hAnsi="Calibri" w:cs="Calibri"/>
          <w:sz w:val="22"/>
          <w:szCs w:val="22"/>
        </w:rPr>
      </w:pPr>
      <w:r w:rsidRPr="005609D4">
        <w:rPr>
          <w:rFonts w:ascii="Calibri" w:hAnsi="Calibri" w:cs="Calibri"/>
          <w:sz w:val="22"/>
          <w:szCs w:val="22"/>
        </w:rPr>
        <w:t>The 2020 sampling was a comprehensive online search of 116 Canadian PSIs for public documents or webpages containing “experiential learning” or “work-integrated learning” in site-specific searches (e.g., site: [site URL] “experiential learning”) using google search.  Of these 116 PSIs searched in 2020, only 82 of them mentioned EL or WIL in 2020: 51 Universities, 4 Polytechnics, and 26 Colleges.  Of these, by 2025, 5 colleges had converted to polytechnics, and one college had closed by 2025.  Minus the closed institution, the final 2020-2025 comparison sample was 81 still-existing institutions who had originally publicly mentioned EL or WIL in 2020.  Total documents, institutions and intended outcome quoted statements are shown in Table 1.</w:t>
      </w:r>
    </w:p>
    <w:p w14:paraId="2A472D61" w14:textId="6EB3F37C" w:rsidR="00D11CE4" w:rsidRPr="005609D4" w:rsidRDefault="00D11CE4" w:rsidP="00D11CE4">
      <w:pPr>
        <w:pBdr>
          <w:top w:val="single" w:sz="8" w:space="1" w:color="auto"/>
          <w:bottom w:val="single" w:sz="8" w:space="1" w:color="auto"/>
        </w:pBdr>
        <w:spacing w:line="480" w:lineRule="auto"/>
        <w:rPr>
          <w:rFonts w:ascii="Calibri" w:hAnsi="Calibri" w:cs="Calibri"/>
          <w:sz w:val="22"/>
          <w:szCs w:val="22"/>
        </w:rPr>
      </w:pPr>
      <w:r w:rsidRPr="005609D4">
        <w:rPr>
          <w:rFonts w:ascii="Calibri" w:hAnsi="Calibri" w:cs="Calibri"/>
          <w:sz w:val="22"/>
          <w:szCs w:val="22"/>
        </w:rPr>
        <w:lastRenderedPageBreak/>
        <w:t>Insert Table 1 here</w:t>
      </w:r>
    </w:p>
    <w:p w14:paraId="48636348" w14:textId="77777777" w:rsidR="00BA671D" w:rsidRPr="005609D4" w:rsidRDefault="00BA671D" w:rsidP="002D748A">
      <w:pPr>
        <w:rPr>
          <w:rFonts w:ascii="Calibri" w:hAnsi="Calibri" w:cs="Calibri"/>
          <w:sz w:val="22"/>
          <w:szCs w:val="22"/>
        </w:rPr>
      </w:pPr>
    </w:p>
    <w:p w14:paraId="5E29CA0D" w14:textId="0BDA14FA" w:rsidR="002D748A" w:rsidRPr="005609D4" w:rsidRDefault="002D748A" w:rsidP="00BA671D">
      <w:pPr>
        <w:spacing w:line="480" w:lineRule="auto"/>
        <w:ind w:firstLine="720"/>
        <w:rPr>
          <w:rFonts w:ascii="Calibri" w:hAnsi="Calibri" w:cs="Calibri"/>
          <w:sz w:val="22"/>
          <w:szCs w:val="22"/>
        </w:rPr>
      </w:pPr>
      <w:r w:rsidRPr="005609D4">
        <w:rPr>
          <w:rFonts w:ascii="Calibri" w:hAnsi="Calibri" w:cs="Calibri"/>
          <w:sz w:val="22"/>
          <w:szCs w:val="22"/>
        </w:rPr>
        <w:t xml:space="preserve">Using duck-duck-go, site specific searches were conducted on these 81 PSIs for “work-integrated learning” and “experiential learning,” opening all webpages, conducting key word searches on the page for “work-integrated learning” and “experiential learning,’ reading the section, and identifying and copying statements into the shared Excel coding table.  If a page had the title of EL or WIL then the whole page was reviewed.  Any stated outcomes, intentions, benefits or rationales for why engage in EL/WIL were noted as intended outcomes for the purpose of this study.  </w:t>
      </w:r>
    </w:p>
    <w:p w14:paraId="242BB46A" w14:textId="77777777" w:rsidR="002D748A" w:rsidRPr="005609D4" w:rsidRDefault="002D748A" w:rsidP="00BA671D">
      <w:pPr>
        <w:spacing w:line="480" w:lineRule="auto"/>
        <w:ind w:firstLine="720"/>
        <w:rPr>
          <w:rFonts w:ascii="Calibri" w:hAnsi="Calibri" w:cs="Calibri"/>
          <w:sz w:val="22"/>
          <w:szCs w:val="22"/>
        </w:rPr>
      </w:pPr>
      <w:r w:rsidRPr="005609D4">
        <w:rPr>
          <w:rFonts w:ascii="Calibri" w:hAnsi="Calibri" w:cs="Calibri"/>
          <w:sz w:val="22"/>
          <w:szCs w:val="22"/>
        </w:rPr>
        <w:t>Initial analysis in 2020 did reveal minor variation across EL and WIL labeled sections in proportions for the same set of outcomes with pages typically distinct in their focus; in 2025 EL and WIL sections and labels were often interspersed or combined on websites and documents.  As a result, outcomes were coded together across EL and WIL in the final analysis, with suggestions for future research in the limitations sections</w:t>
      </w:r>
    </w:p>
    <w:p w14:paraId="0499C9B1" w14:textId="4FD0A6C5" w:rsidR="002D748A" w:rsidRPr="005609D4" w:rsidRDefault="002D748A" w:rsidP="005609D4">
      <w:pPr>
        <w:spacing w:line="480" w:lineRule="auto"/>
        <w:ind w:firstLine="720"/>
        <w:rPr>
          <w:rFonts w:ascii="Calibri" w:hAnsi="Calibri" w:cs="Calibri"/>
          <w:sz w:val="22"/>
          <w:szCs w:val="22"/>
        </w:rPr>
      </w:pPr>
      <w:r w:rsidRPr="005609D4">
        <w:rPr>
          <w:rFonts w:ascii="Calibri" w:hAnsi="Calibri" w:cs="Calibri"/>
          <w:sz w:val="22"/>
          <w:szCs w:val="22"/>
        </w:rPr>
        <w:t xml:space="preserve">Thematic analysis is based on code developed through the original 2020 OBEL landscape scan and subsequent outcome framework, that was then deductively applied to the 2025 coding along with abductive analysis to identify newly emerging codes.  During the 2025 analysis, the first 639 codes were also paraphrased to identify meaning and inform human inter-rater review.  Codes were then inductively thematic analyzed to refine the list of outcome codes.  Categories scope and names were also revised.  The final set of 2025 codes were then updated for the 2025 dataset and then utilized to re-code 2020 data, thus both data sets had the same institutions and final deductive coding.  Sentences with multiple outcomes were segmented with the quoted statements reflecting a clear single outcome.  The final dataset was 257 statements coded for 2020, and 2817 statements coded for 2025.  The analysis resulted in 34 outcomes across 12 categories, though literacy outcomes (#6) were rare, and there is emergence of EL and WIL-related intended outcomes in land-based or Indigenous ways of knowing learning that are </w:t>
      </w:r>
      <w:r w:rsidRPr="005609D4">
        <w:rPr>
          <w:rFonts w:ascii="Calibri" w:hAnsi="Calibri" w:cs="Calibri"/>
          <w:sz w:val="22"/>
          <w:szCs w:val="22"/>
        </w:rPr>
        <w:lastRenderedPageBreak/>
        <w:t>explored in the discussion (#12).  The number of outcomes stated (</w:t>
      </w:r>
      <w:proofErr w:type="spellStart"/>
      <w:r w:rsidRPr="005609D4">
        <w:rPr>
          <w:rFonts w:ascii="Calibri" w:hAnsi="Calibri" w:cs="Calibri"/>
          <w:sz w:val="22"/>
          <w:szCs w:val="22"/>
        </w:rPr>
        <w:t>codeable</w:t>
      </w:r>
      <w:proofErr w:type="spellEnd"/>
      <w:r w:rsidRPr="005609D4">
        <w:rPr>
          <w:rFonts w:ascii="Calibri" w:hAnsi="Calibri" w:cs="Calibri"/>
          <w:sz w:val="22"/>
          <w:szCs w:val="22"/>
        </w:rPr>
        <w:t xml:space="preserve"> segments) was 11 times higher in 2025 (2817) than 2020 (257), representing a more than four times faster growth than the growth of the internet, which doubled (2.05 from 12,545,098 to 25,731,691 URLs analyzed) from October 2020 to January 2025 (</w:t>
      </w:r>
      <w:proofErr w:type="spellStart"/>
      <w:r w:rsidRPr="005609D4">
        <w:rPr>
          <w:rFonts w:ascii="Calibri" w:hAnsi="Calibri" w:cs="Calibri"/>
          <w:sz w:val="22"/>
          <w:szCs w:val="22"/>
        </w:rPr>
        <w:t>httparchive</w:t>
      </w:r>
      <w:proofErr w:type="spellEnd"/>
      <w:r w:rsidRPr="005609D4">
        <w:rPr>
          <w:rFonts w:ascii="Calibri" w:hAnsi="Calibri" w:cs="Calibri"/>
          <w:sz w:val="22"/>
          <w:szCs w:val="22"/>
        </w:rPr>
        <w:t>, n.d.).</w:t>
      </w:r>
    </w:p>
    <w:p w14:paraId="1ADB4393" w14:textId="77777777" w:rsidR="002D748A" w:rsidRPr="005609D4" w:rsidRDefault="002D748A" w:rsidP="00BA671D">
      <w:pPr>
        <w:spacing w:line="480" w:lineRule="auto"/>
        <w:ind w:firstLine="720"/>
        <w:rPr>
          <w:rFonts w:ascii="Calibri" w:hAnsi="Calibri" w:cs="Calibri"/>
          <w:sz w:val="22"/>
          <w:szCs w:val="22"/>
        </w:rPr>
      </w:pPr>
      <w:r w:rsidRPr="005609D4">
        <w:rPr>
          <w:rFonts w:ascii="Calibri" w:hAnsi="Calibri" w:cs="Calibri"/>
          <w:sz w:val="22"/>
          <w:szCs w:val="22"/>
        </w:rPr>
        <w:t>The thematically coded statements were then counted and proportions compared quantitatively using two-proportion z-tests across 2020 vs 2025, and in 2025 across universities compared to colleges and polytechnics who had similar patterns.  Outcomes with less than 5 in one of the sub-totals was excluded.  Patterns in provinces revealed a consistent shift except for provinces that were already high or moderate as of 2020 and remained so.  Detailed discussed in the results section.</w:t>
      </w:r>
    </w:p>
    <w:p w14:paraId="68BC21B0" w14:textId="77777777" w:rsidR="002D748A" w:rsidRPr="005609D4" w:rsidRDefault="002D748A" w:rsidP="00BA671D">
      <w:pPr>
        <w:spacing w:line="480" w:lineRule="auto"/>
        <w:rPr>
          <w:rFonts w:ascii="Calibri" w:hAnsi="Calibri" w:cs="Calibri"/>
          <w:i/>
          <w:iCs/>
          <w:sz w:val="22"/>
          <w:szCs w:val="22"/>
        </w:rPr>
      </w:pPr>
      <w:r w:rsidRPr="005609D4">
        <w:rPr>
          <w:rFonts w:ascii="Calibri" w:hAnsi="Calibri" w:cs="Calibri"/>
          <w:i/>
          <w:iCs/>
          <w:sz w:val="22"/>
          <w:szCs w:val="22"/>
        </w:rPr>
        <w:t>All Analysis is Human-Coded; AI Testing Results</w:t>
      </w:r>
    </w:p>
    <w:p w14:paraId="2BF8E6C0" w14:textId="6B34F5D9" w:rsidR="00BA671D" w:rsidRPr="005609D4" w:rsidRDefault="002D748A" w:rsidP="00BA671D">
      <w:pPr>
        <w:spacing w:line="480" w:lineRule="auto"/>
        <w:rPr>
          <w:rFonts w:ascii="Calibri" w:hAnsi="Calibri" w:cs="Calibri"/>
          <w:sz w:val="22"/>
          <w:szCs w:val="22"/>
          <w:lang w:val="en-US"/>
        </w:rPr>
      </w:pPr>
      <w:r w:rsidRPr="005609D4">
        <w:rPr>
          <w:rFonts w:ascii="Calibri" w:hAnsi="Calibri" w:cs="Calibri"/>
          <w:sz w:val="22"/>
          <w:szCs w:val="22"/>
        </w:rPr>
        <w:t xml:space="preserve">AI was piloted in summer 2025 and was determined to have low consistency/reliability, and as such as not used for text sampling or initial coding.  After 1000 quoted outcomes were coded, the quotes were provided to </w:t>
      </w:r>
      <w:proofErr w:type="spellStart"/>
      <w:r w:rsidRPr="005609D4">
        <w:rPr>
          <w:rFonts w:ascii="Calibri" w:hAnsi="Calibri" w:cs="Calibri"/>
          <w:sz w:val="22"/>
          <w:szCs w:val="22"/>
        </w:rPr>
        <w:t>ChatGPT</w:t>
      </w:r>
      <w:proofErr w:type="spellEnd"/>
      <w:r w:rsidRPr="005609D4">
        <w:rPr>
          <w:rFonts w:ascii="Calibri" w:hAnsi="Calibri" w:cs="Calibri"/>
          <w:sz w:val="22"/>
          <w:szCs w:val="22"/>
        </w:rPr>
        <w:t xml:space="preserve"> 5.2.  (AI) to test code.  While Acquire Skills typically showed 90% interrater human-AI agreement, more varied or euphemistically described statements (e.g., “enriching education in ways that deepen knowledge and insight.” human-coded as improving conceptual learning) received 10% human-AI agreement with hallucinations or misinterpretations.  Thus all data sampling, analysis and results here are based on human-coded and human-reviewed analysis.  The human-based coding also furthered a learner’s experience, a student who was provided with a paid research assistantship and received training and mentorship, completed the majority of sampling and coding</w:t>
      </w:r>
      <w:r w:rsidR="00BA671D" w:rsidRPr="005609D4">
        <w:rPr>
          <w:rFonts w:ascii="Calibri" w:hAnsi="Calibri" w:cs="Calibri"/>
          <w:sz w:val="22"/>
          <w:szCs w:val="22"/>
        </w:rPr>
        <w:t>.</w:t>
      </w:r>
    </w:p>
    <w:p w14:paraId="502A77C7" w14:textId="77777777" w:rsidR="00A01A6F" w:rsidRPr="005609D4" w:rsidRDefault="00A01A6F" w:rsidP="00BA671D">
      <w:pPr>
        <w:spacing w:line="480" w:lineRule="auto"/>
        <w:rPr>
          <w:rFonts w:ascii="Calibri" w:hAnsi="Calibri" w:cs="Calibri"/>
          <w:b/>
          <w:bCs/>
          <w:sz w:val="22"/>
          <w:szCs w:val="22"/>
          <w:lang w:val="en-US"/>
        </w:rPr>
      </w:pPr>
      <w:r w:rsidRPr="005609D4">
        <w:rPr>
          <w:rFonts w:ascii="Calibri" w:hAnsi="Calibri" w:cs="Calibri"/>
          <w:b/>
          <w:bCs/>
          <w:sz w:val="22"/>
          <w:szCs w:val="22"/>
          <w:lang w:val="en-US"/>
        </w:rPr>
        <w:t>Results</w:t>
      </w:r>
    </w:p>
    <w:p w14:paraId="0841F140" w14:textId="77777777" w:rsidR="002D748A" w:rsidRPr="005609D4" w:rsidRDefault="002D748A" w:rsidP="00BA671D">
      <w:pPr>
        <w:spacing w:line="480" w:lineRule="auto"/>
        <w:rPr>
          <w:rFonts w:ascii="Calibri" w:hAnsi="Calibri" w:cs="Calibri"/>
          <w:sz w:val="22"/>
          <w:szCs w:val="22"/>
        </w:rPr>
      </w:pPr>
      <w:r w:rsidRPr="005609D4">
        <w:rPr>
          <w:rFonts w:ascii="Calibri" w:hAnsi="Calibri" w:cs="Calibri"/>
          <w:sz w:val="22"/>
          <w:szCs w:val="22"/>
        </w:rPr>
        <w:t xml:space="preserve">In the final coding, Canadian PSI websites’ intended outcomes for EL/WIL fit into 12 categories with 34 identified intended outcomes codes (n 2020 = 257; n 2025 = 2817 coded quote segments).  All of the categories and codes were present in the 2025 dataset.  </w:t>
      </w:r>
    </w:p>
    <w:p w14:paraId="64D0E390" w14:textId="77777777" w:rsidR="002D748A" w:rsidRPr="005609D4" w:rsidRDefault="002D748A" w:rsidP="00BA671D">
      <w:pPr>
        <w:spacing w:line="480" w:lineRule="auto"/>
        <w:rPr>
          <w:rFonts w:ascii="Calibri" w:hAnsi="Calibri" w:cs="Calibri"/>
          <w:sz w:val="22"/>
          <w:szCs w:val="22"/>
        </w:rPr>
      </w:pPr>
      <w:r w:rsidRPr="005609D4">
        <w:rPr>
          <w:rFonts w:ascii="Calibri" w:hAnsi="Calibri" w:cs="Calibri"/>
          <w:i/>
          <w:iCs/>
          <w:sz w:val="22"/>
          <w:szCs w:val="22"/>
        </w:rPr>
        <w:t>2020 vs.  2025 Canadian PSIs’ Publicly Intended Outcomes of EL/WIL</w:t>
      </w:r>
    </w:p>
    <w:p w14:paraId="524D9AA3" w14:textId="7D8B7183" w:rsidR="002D748A" w:rsidRPr="005609D4" w:rsidRDefault="002D748A" w:rsidP="00BA671D">
      <w:pPr>
        <w:spacing w:line="480" w:lineRule="auto"/>
        <w:ind w:firstLine="720"/>
        <w:rPr>
          <w:rFonts w:ascii="Calibri" w:hAnsi="Calibri" w:cs="Calibri"/>
          <w:sz w:val="22"/>
          <w:szCs w:val="22"/>
        </w:rPr>
      </w:pPr>
      <w:r w:rsidRPr="005609D4">
        <w:rPr>
          <w:rFonts w:ascii="Calibri" w:hAnsi="Calibri" w:cs="Calibri"/>
          <w:sz w:val="22"/>
          <w:szCs w:val="22"/>
        </w:rPr>
        <w:lastRenderedPageBreak/>
        <w:t xml:space="preserve">While Human/relational-centred outcome categories were the majority of intended outcomes in 2020 (54%), by 2025 career preparedness (experience, networking, gaining employment) and theory-practice integration had grown until intended outcomes were almost evenly distributed across careers, skills, theory-practice integration and human/relational-centred outcomes (see Figure 1).  </w:t>
      </w:r>
    </w:p>
    <w:p w14:paraId="4A46F5FC" w14:textId="201F2BD0" w:rsidR="00D11CE4" w:rsidRPr="005609D4" w:rsidRDefault="00D11CE4" w:rsidP="00D11CE4">
      <w:pPr>
        <w:pBdr>
          <w:top w:val="single" w:sz="8" w:space="1" w:color="auto"/>
          <w:bottom w:val="single" w:sz="8" w:space="1" w:color="auto"/>
        </w:pBdr>
        <w:spacing w:line="480" w:lineRule="auto"/>
        <w:rPr>
          <w:rFonts w:ascii="Calibri" w:hAnsi="Calibri" w:cs="Calibri"/>
          <w:sz w:val="22"/>
          <w:szCs w:val="22"/>
        </w:rPr>
      </w:pPr>
      <w:r w:rsidRPr="005609D4">
        <w:rPr>
          <w:rFonts w:ascii="Calibri" w:hAnsi="Calibri" w:cs="Calibri"/>
          <w:sz w:val="22"/>
          <w:szCs w:val="22"/>
        </w:rPr>
        <w:t>Insert Figure 1 here</w:t>
      </w:r>
    </w:p>
    <w:p w14:paraId="1AA98F6C" w14:textId="77777777" w:rsidR="002D748A" w:rsidRPr="005609D4" w:rsidRDefault="002D748A" w:rsidP="002D748A">
      <w:pPr>
        <w:spacing w:after="200"/>
        <w:rPr>
          <w:rFonts w:ascii="Calibri" w:hAnsi="Calibri" w:cs="Calibri"/>
          <w:i/>
          <w:iCs/>
          <w:sz w:val="22"/>
          <w:szCs w:val="22"/>
        </w:rPr>
      </w:pPr>
    </w:p>
    <w:p w14:paraId="75EFD1D0" w14:textId="77777777" w:rsidR="002D748A" w:rsidRPr="005609D4" w:rsidRDefault="002D748A" w:rsidP="00D11CE4">
      <w:pPr>
        <w:spacing w:after="200" w:line="480" w:lineRule="auto"/>
        <w:rPr>
          <w:rFonts w:ascii="Calibri" w:hAnsi="Calibri" w:cs="Calibri"/>
          <w:sz w:val="22"/>
          <w:szCs w:val="22"/>
        </w:rPr>
      </w:pPr>
      <w:r w:rsidRPr="005609D4">
        <w:rPr>
          <w:rFonts w:ascii="Calibri" w:hAnsi="Calibri" w:cs="Calibri"/>
          <w:sz w:val="22"/>
          <w:szCs w:val="22"/>
        </w:rPr>
        <w:t xml:space="preserve">There were significant increases in career preparedness (#1) and theory-practice integration (#3), applying theory to practice (#3.2) and significant decreases conceptual experience and learning (#3), Institutional-community collaborations and local impact (#8), benefiting and engaging faculty members (#9), and institutional-community collaborations and local impact (#10) as listed in Table 2.  Skills acquisition overall did not significantly change but the type of skills appear to be shifting with significant increases acquiring technical and non-technical skills specific to a sector or in general (#2.1), and significant decreases with acquiring critical thinking skills (#2.2).  </w:t>
      </w:r>
    </w:p>
    <w:p w14:paraId="731B916B" w14:textId="21E75DF0" w:rsidR="00D11CE4" w:rsidRPr="005609D4" w:rsidRDefault="00D11CE4" w:rsidP="00D11CE4">
      <w:pPr>
        <w:pBdr>
          <w:top w:val="single" w:sz="8" w:space="1" w:color="auto"/>
          <w:bottom w:val="single" w:sz="8" w:space="1" w:color="auto"/>
        </w:pBdr>
        <w:spacing w:before="200" w:line="480" w:lineRule="auto"/>
        <w:rPr>
          <w:rFonts w:ascii="Calibri" w:hAnsi="Calibri" w:cs="Calibri"/>
          <w:sz w:val="22"/>
          <w:szCs w:val="22"/>
        </w:rPr>
      </w:pPr>
      <w:r w:rsidRPr="005609D4">
        <w:rPr>
          <w:rFonts w:ascii="Calibri" w:hAnsi="Calibri" w:cs="Calibri"/>
          <w:sz w:val="22"/>
          <w:szCs w:val="22"/>
        </w:rPr>
        <w:t>Insert table 2 here</w:t>
      </w:r>
    </w:p>
    <w:p w14:paraId="7B37763B" w14:textId="77777777" w:rsidR="00BA671D" w:rsidRPr="005609D4" w:rsidRDefault="00BA671D" w:rsidP="002D748A">
      <w:pPr>
        <w:spacing w:before="200" w:after="200"/>
        <w:rPr>
          <w:rFonts w:ascii="Calibri" w:hAnsi="Calibri" w:cs="Calibri"/>
          <w:i/>
          <w:iCs/>
          <w:sz w:val="22"/>
          <w:szCs w:val="22"/>
        </w:rPr>
      </w:pPr>
    </w:p>
    <w:p w14:paraId="16E0930A" w14:textId="7747092A" w:rsidR="002D748A" w:rsidRPr="005609D4" w:rsidRDefault="002D748A" w:rsidP="00BA671D">
      <w:pPr>
        <w:spacing w:line="480" w:lineRule="auto"/>
        <w:rPr>
          <w:rFonts w:ascii="Calibri" w:hAnsi="Calibri" w:cs="Calibri"/>
          <w:i/>
          <w:iCs/>
          <w:sz w:val="22"/>
          <w:szCs w:val="22"/>
        </w:rPr>
      </w:pPr>
      <w:r w:rsidRPr="005609D4">
        <w:rPr>
          <w:rFonts w:ascii="Calibri" w:hAnsi="Calibri" w:cs="Calibri"/>
          <w:i/>
          <w:iCs/>
          <w:sz w:val="22"/>
          <w:szCs w:val="22"/>
        </w:rPr>
        <w:t>2020 vs 2025 Remarkable Similarity Across Provinces and a Territory</w:t>
      </w:r>
    </w:p>
    <w:p w14:paraId="4075B682" w14:textId="77777777" w:rsidR="002D748A" w:rsidRPr="005609D4" w:rsidRDefault="002D748A" w:rsidP="00BA671D">
      <w:pPr>
        <w:spacing w:line="480" w:lineRule="auto"/>
        <w:ind w:firstLine="720"/>
        <w:rPr>
          <w:rFonts w:ascii="Calibri" w:hAnsi="Calibri" w:cs="Calibri"/>
          <w:b/>
          <w:bCs/>
          <w:sz w:val="22"/>
          <w:szCs w:val="22"/>
        </w:rPr>
      </w:pPr>
      <w:r w:rsidRPr="005609D4">
        <w:rPr>
          <w:rFonts w:ascii="Calibri" w:hAnsi="Calibri" w:cs="Calibri"/>
          <w:sz w:val="22"/>
          <w:szCs w:val="22"/>
        </w:rPr>
        <w:t>Across the 10 provinces and 1 territory (Yukon) that had PSIs mentioning EL/WIL in 2020 showed remarkably similar increases including the increase in acquire technical and non-technical skills* (+6%; though Alberta was already high and remained high), and apply theory to practice (+11%).  Decreases were also similar across region though limited mentions of outcomes (sample sizes) in east coast provinces, Yukon, and Saskatchewan in 2020.</w:t>
      </w:r>
    </w:p>
    <w:p w14:paraId="7EE764D3" w14:textId="77777777" w:rsidR="002D748A" w:rsidRPr="005609D4" w:rsidRDefault="002D748A" w:rsidP="00BA671D">
      <w:pPr>
        <w:spacing w:before="200" w:after="200" w:line="480" w:lineRule="auto"/>
        <w:rPr>
          <w:rFonts w:ascii="Calibri" w:hAnsi="Calibri" w:cs="Calibri"/>
          <w:i/>
          <w:iCs/>
          <w:sz w:val="22"/>
          <w:szCs w:val="22"/>
        </w:rPr>
      </w:pPr>
      <w:r w:rsidRPr="005609D4">
        <w:rPr>
          <w:rFonts w:ascii="Calibri" w:hAnsi="Calibri" w:cs="Calibri"/>
          <w:i/>
          <w:iCs/>
          <w:sz w:val="22"/>
          <w:szCs w:val="22"/>
        </w:rPr>
        <w:t>Comparing Intended EL/WIL Outcomes Across Institutional Types in 2025</w:t>
      </w:r>
    </w:p>
    <w:p w14:paraId="0E13FD6C" w14:textId="18EB7A80" w:rsidR="002D748A" w:rsidRPr="005609D4" w:rsidRDefault="002D748A" w:rsidP="00BA671D">
      <w:pPr>
        <w:spacing w:after="200" w:line="480" w:lineRule="auto"/>
        <w:rPr>
          <w:rFonts w:ascii="Calibri" w:hAnsi="Calibri" w:cs="Calibri"/>
          <w:sz w:val="22"/>
          <w:szCs w:val="22"/>
        </w:rPr>
      </w:pPr>
      <w:r w:rsidRPr="005609D4">
        <w:rPr>
          <w:rFonts w:ascii="Calibri" w:hAnsi="Calibri" w:cs="Calibri"/>
          <w:sz w:val="22"/>
          <w:szCs w:val="22"/>
        </w:rPr>
        <w:lastRenderedPageBreak/>
        <w:t xml:space="preserve">Within the 2025 data, colleges and polytechnics (38%) had proportionally more Theory-Practice Integration intended outcome statements than Universities (#3, 18%; </w:t>
      </w:r>
      <w:r w:rsidRPr="005609D4">
        <w:rPr>
          <w:rFonts w:ascii="Calibri" w:hAnsi="Calibri" w:cs="Calibri"/>
          <w:i/>
          <w:iCs/>
          <w:sz w:val="22"/>
          <w:szCs w:val="22"/>
        </w:rPr>
        <w:t xml:space="preserve">z </w:t>
      </w:r>
      <w:r w:rsidRPr="005609D4">
        <w:rPr>
          <w:rFonts w:ascii="Calibri" w:hAnsi="Calibri" w:cs="Calibri"/>
          <w:sz w:val="22"/>
          <w:szCs w:val="22"/>
        </w:rPr>
        <w:t xml:space="preserve">= 10.10, </w:t>
      </w:r>
      <w:r w:rsidRPr="005609D4">
        <w:rPr>
          <w:rFonts w:ascii="Calibri" w:hAnsi="Calibri" w:cs="Calibri"/>
          <w:i/>
          <w:iCs/>
          <w:sz w:val="22"/>
          <w:szCs w:val="22"/>
        </w:rPr>
        <w:t>p</w:t>
      </w:r>
      <w:r w:rsidRPr="005609D4">
        <w:rPr>
          <w:rFonts w:ascii="Calibri" w:hAnsi="Calibri" w:cs="Calibri"/>
          <w:sz w:val="22"/>
          <w:szCs w:val="22"/>
        </w:rPr>
        <w:t xml:space="preserve"> &lt; .001), and more apply theory to practice (#3.2, 32% vs 15%, z = 9.95, p &lt; .001).  Universities had proportionally more build career connections/networking (5%) than colleges and polytechnics (outcome 1.2., 2%, z = -3.07, p = .002), as well as for skill acquisition (#2, 25% vs 14%, z = -5.92, p &lt; .001), particularly acquiring technical and non-technical skills (#2.1, 16% vs.  9%, z = -4.68, p &lt; .001).  Improved conceptual knowledge/learning was also higher for universities compared to colleges and polytechnics (#4, 4% vs 2%, z= -3.47, p &lt; .001), however the difference reflects a less decline at universities during large declines overall rather than an increase in focus.  As these 2025 differences were not present in 2020, this suggests differential growth or decrease in these intentions.</w:t>
      </w:r>
    </w:p>
    <w:p w14:paraId="4FEB97B6" w14:textId="39133606" w:rsidR="00D11CE4" w:rsidRPr="005609D4" w:rsidRDefault="00D11CE4" w:rsidP="00D11CE4">
      <w:pPr>
        <w:pBdr>
          <w:top w:val="single" w:sz="8" w:space="1" w:color="auto"/>
          <w:bottom w:val="single" w:sz="8" w:space="1" w:color="auto"/>
        </w:pBdr>
        <w:spacing w:after="200" w:line="480" w:lineRule="auto"/>
        <w:rPr>
          <w:rFonts w:ascii="Calibri" w:hAnsi="Calibri" w:cs="Calibri"/>
          <w:sz w:val="22"/>
          <w:szCs w:val="22"/>
        </w:rPr>
      </w:pPr>
      <w:r w:rsidRPr="005609D4">
        <w:rPr>
          <w:rFonts w:ascii="Calibri" w:hAnsi="Calibri" w:cs="Calibri"/>
          <w:sz w:val="22"/>
          <w:szCs w:val="22"/>
        </w:rPr>
        <w:t>Insert Table 3 here</w:t>
      </w:r>
    </w:p>
    <w:p w14:paraId="07A69FB1" w14:textId="77777777" w:rsidR="00A01A6F" w:rsidRPr="005609D4" w:rsidRDefault="00A01A6F" w:rsidP="00BA671D">
      <w:pPr>
        <w:spacing w:line="480" w:lineRule="auto"/>
        <w:rPr>
          <w:rFonts w:ascii="Calibri" w:hAnsi="Calibri" w:cs="Calibri"/>
          <w:b/>
          <w:bCs/>
          <w:sz w:val="22"/>
          <w:szCs w:val="22"/>
          <w:lang w:val="en-US"/>
        </w:rPr>
      </w:pPr>
      <w:r w:rsidRPr="005609D4">
        <w:rPr>
          <w:rFonts w:ascii="Calibri" w:hAnsi="Calibri" w:cs="Calibri"/>
          <w:b/>
          <w:bCs/>
          <w:sz w:val="22"/>
          <w:szCs w:val="22"/>
          <w:lang w:val="en-US"/>
        </w:rPr>
        <w:t>Conclusions</w:t>
      </w:r>
    </w:p>
    <w:p w14:paraId="6EC8EA79" w14:textId="3B529186" w:rsidR="002D748A"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Overall, our 2020-2025 comparison of the same 81 institutions who mentioned EL or WIL in 2020 revealed an 11-fold increase in EL/WIL outcome statements.  Significant shifts in intended outcomes included increases in career preparedness, theory-practice integration, sub-category acquiring technical and non-technical skills specific to a sector or in general, in addition to as decreases in conceptual experience and learning and sub-category of critical thinking skill acquisition, as well as a decrease in human/relational-centred outcomes of institutional-community collaborations and local impact, engaging faculty members, and institutional-community collaborations and local impact categories.  This suggests a shift towards a focus on more practice, career, and sector-relevant skills development within PSI educational experiences, in alignment with notable government investment and institutional response to WIL policy and advocacy.  There is a PSI sector-wide emergence in intentions for improving mental health, wellbeing and resilience with outcomes found at all institution types.  These increases in </w:t>
      </w:r>
      <w:r w:rsidRPr="005609D4">
        <w:rPr>
          <w:rFonts w:ascii="Calibri" w:hAnsi="Calibri" w:cs="Calibri"/>
          <w:sz w:val="22"/>
          <w:szCs w:val="22"/>
        </w:rPr>
        <w:lastRenderedPageBreak/>
        <w:t xml:space="preserve">work or practice-related skill-related outcome categories were visible in nearly all provinces/territories studied with Alberta not shifting because these outcomes were already highly present in this province with a long running vocational-focus in PSIs and K-12 curriculum.  </w:t>
      </w:r>
    </w:p>
    <w:p w14:paraId="2CD82489" w14:textId="10272DF5" w:rsidR="00A01A6F" w:rsidRPr="005609D4" w:rsidRDefault="002D748A" w:rsidP="00F57D7B">
      <w:pPr>
        <w:spacing w:line="480" w:lineRule="auto"/>
        <w:ind w:firstLine="720"/>
        <w:rPr>
          <w:rFonts w:ascii="Calibri" w:hAnsi="Calibri" w:cs="Calibri"/>
          <w:sz w:val="22"/>
          <w:szCs w:val="22"/>
          <w:lang w:val="en-US"/>
        </w:rPr>
      </w:pPr>
      <w:r w:rsidRPr="005609D4">
        <w:rPr>
          <w:rFonts w:ascii="Calibri" w:hAnsi="Calibri" w:cs="Calibri"/>
          <w:sz w:val="22"/>
          <w:szCs w:val="22"/>
        </w:rPr>
        <w:t xml:space="preserve">Variations across institutional types reflect distinctions in mandates, with colleges and polytechnics having more theory-practice </w:t>
      </w:r>
      <w:r w:rsidR="00F57D7B" w:rsidRPr="005609D4">
        <w:rPr>
          <w:rFonts w:ascii="Calibri" w:hAnsi="Calibri" w:cs="Calibri"/>
          <w:sz w:val="22"/>
          <w:szCs w:val="22"/>
        </w:rPr>
        <w:t>i</w:t>
      </w:r>
      <w:r w:rsidRPr="005609D4">
        <w:rPr>
          <w:rFonts w:ascii="Calibri" w:hAnsi="Calibri" w:cs="Calibri"/>
          <w:sz w:val="22"/>
          <w:szCs w:val="22"/>
        </w:rPr>
        <w:t>ntegration and apply</w:t>
      </w:r>
      <w:r w:rsidR="00F57D7B" w:rsidRPr="005609D4">
        <w:rPr>
          <w:rFonts w:ascii="Calibri" w:hAnsi="Calibri" w:cs="Calibri"/>
          <w:sz w:val="22"/>
          <w:szCs w:val="22"/>
        </w:rPr>
        <w:t>-</w:t>
      </w:r>
      <w:r w:rsidRPr="005609D4">
        <w:rPr>
          <w:rFonts w:ascii="Calibri" w:hAnsi="Calibri" w:cs="Calibri"/>
          <w:sz w:val="22"/>
          <w:szCs w:val="22"/>
        </w:rPr>
        <w:t>theory</w:t>
      </w:r>
      <w:r w:rsidR="00F57D7B" w:rsidRPr="005609D4">
        <w:rPr>
          <w:rFonts w:ascii="Calibri" w:hAnsi="Calibri" w:cs="Calibri"/>
          <w:sz w:val="22"/>
          <w:szCs w:val="22"/>
        </w:rPr>
        <w:t>-</w:t>
      </w:r>
      <w:r w:rsidRPr="005609D4">
        <w:rPr>
          <w:rFonts w:ascii="Calibri" w:hAnsi="Calibri" w:cs="Calibri"/>
          <w:sz w:val="22"/>
          <w:szCs w:val="22"/>
        </w:rPr>
        <w:t>to</w:t>
      </w:r>
      <w:r w:rsidR="00F57D7B" w:rsidRPr="005609D4">
        <w:rPr>
          <w:rFonts w:ascii="Calibri" w:hAnsi="Calibri" w:cs="Calibri"/>
          <w:sz w:val="22"/>
          <w:szCs w:val="22"/>
        </w:rPr>
        <w:t>-</w:t>
      </w:r>
      <w:r w:rsidRPr="005609D4">
        <w:rPr>
          <w:rFonts w:ascii="Calibri" w:hAnsi="Calibri" w:cs="Calibri"/>
          <w:sz w:val="22"/>
          <w:szCs w:val="22"/>
        </w:rPr>
        <w:t>practice intended outcome statements, while universities had more build career connections/networking, skill acquisition particularly acquiring technical and non-technical skills reflective of gaps in curricular learning addressed through EL/WIL and recent investments.  An overall decline, yet greater university intentions for conceptual expertise development reflects merely a less steep decline at universities compared to colleges and polytechni</w:t>
      </w:r>
      <w:r w:rsidR="00F57D7B" w:rsidRPr="005609D4">
        <w:rPr>
          <w:rFonts w:ascii="Calibri" w:hAnsi="Calibri" w:cs="Calibri"/>
          <w:sz w:val="22"/>
          <w:szCs w:val="22"/>
        </w:rPr>
        <w:t>cs</w:t>
      </w:r>
      <w:r w:rsidRPr="005609D4">
        <w:rPr>
          <w:rFonts w:ascii="Calibri" w:hAnsi="Calibri" w:cs="Calibri"/>
          <w:sz w:val="22"/>
          <w:szCs w:val="22"/>
        </w:rPr>
        <w:t xml:space="preserve"> rather than a preservation or increase in intention for conceptual expertise through EL/WIL.  With critical thinking skill acquisition the findings of an overall decline yet no significant difference across PSI types in critical thinking development suggests a loss in a connection of critical thinking with WIL/EL at a time when this skill is increasingly essential for navigating artificial intelligence in workplaces.  As AI continues to shape PSI approaches, critical thinking focus will be an interesting future area to study, including within work-immersive and work-related contexts.  Overall there are nuances among the outcome and across contexts to continue to study as work roles, contexts and embrace of artificial intelligence shifts expectations for graduates, priorities of institutions and thus intended outcomes.  Studies into the shifts in how external partners are engaged (from faculty-level partnership to program-level partnerships), how equity-deserving learners (e.g., Godden &amp; </w:t>
      </w:r>
      <w:proofErr w:type="spellStart"/>
      <w:r w:rsidRPr="005609D4">
        <w:rPr>
          <w:rFonts w:ascii="Calibri" w:hAnsi="Calibri" w:cs="Calibri"/>
          <w:sz w:val="22"/>
          <w:szCs w:val="22"/>
        </w:rPr>
        <w:t>Hoessler</w:t>
      </w:r>
      <w:proofErr w:type="spellEnd"/>
      <w:r w:rsidRPr="005609D4">
        <w:rPr>
          <w:rFonts w:ascii="Calibri" w:hAnsi="Calibri" w:cs="Calibri"/>
          <w:sz w:val="22"/>
          <w:szCs w:val="22"/>
        </w:rPr>
        <w:t>, 2024; Khan et al, 2004; Rao et al., 2024) can be supported, and how benefits and actual outcomes are tracked will deepen understanding of the implications and drivers are these shifts in outcomes.</w:t>
      </w:r>
    </w:p>
    <w:p w14:paraId="6BBE8035" w14:textId="743FAC9F" w:rsidR="00D11CE4" w:rsidRPr="005609D4" w:rsidRDefault="002D748A" w:rsidP="00D11CE4">
      <w:pPr>
        <w:spacing w:after="160" w:line="480" w:lineRule="auto"/>
        <w:ind w:firstLine="720"/>
        <w:rPr>
          <w:rFonts w:ascii="Calibri" w:hAnsi="Calibri" w:cs="Calibri"/>
          <w:sz w:val="22"/>
          <w:szCs w:val="22"/>
        </w:rPr>
      </w:pPr>
      <w:r w:rsidRPr="005609D4">
        <w:rPr>
          <w:rFonts w:ascii="Calibri" w:hAnsi="Calibri" w:cs="Calibri"/>
          <w:sz w:val="22"/>
          <w:szCs w:val="22"/>
        </w:rPr>
        <w:t xml:space="preserve">Alongside massive widespread growth in Canadian post-secondary institutions’ intended outcomes statements totals, there was a shift in emphasis, with increased focus on acquiring skills, gaining experience, and applying theory to practice, and a decrease in human/relational-centred </w:t>
      </w:r>
      <w:r w:rsidRPr="005609D4">
        <w:rPr>
          <w:rFonts w:ascii="Calibri" w:hAnsi="Calibri" w:cs="Calibri"/>
          <w:sz w:val="22"/>
          <w:szCs w:val="22"/>
        </w:rPr>
        <w:lastRenderedPageBreak/>
        <w:t>outcomes.  Our comprehensive comparison of institutional statements allows for direct temporal comparison from 2020 to 2025.  The data also suggest a widespread engagement in WIL and a shift in focus from primarily framing statements about activities and qualities of EL and WIL towards more articulated intended outcomes by 2025.  Variation across specific outcomes, provinces, and institution types underscores how WIL intentions remain shaped by distinct local and institutional contexts within widespread Canadian investment, student demand, and institutional embrace of WIL.</w:t>
      </w:r>
    </w:p>
    <w:p w14:paraId="598B1BEF" w14:textId="77777777" w:rsidR="00D11CE4" w:rsidRPr="005609D4" w:rsidRDefault="00D11CE4" w:rsidP="00D11CE4">
      <w:pPr>
        <w:spacing w:line="480" w:lineRule="auto"/>
        <w:rPr>
          <w:rFonts w:ascii="Calibri" w:hAnsi="Calibri" w:cs="Calibri"/>
          <w:b/>
          <w:bCs/>
          <w:sz w:val="22"/>
          <w:szCs w:val="22"/>
        </w:rPr>
      </w:pPr>
      <w:r w:rsidRPr="005609D4">
        <w:rPr>
          <w:rFonts w:ascii="Calibri" w:hAnsi="Calibri" w:cs="Calibri"/>
          <w:b/>
          <w:bCs/>
          <w:sz w:val="22"/>
          <w:szCs w:val="22"/>
        </w:rPr>
        <w:t>Table 1</w:t>
      </w:r>
    </w:p>
    <w:p w14:paraId="48BB849A" w14:textId="77777777" w:rsidR="00D11CE4" w:rsidRPr="005609D4" w:rsidRDefault="00D11CE4" w:rsidP="00D11CE4">
      <w:pPr>
        <w:spacing w:line="480" w:lineRule="auto"/>
        <w:rPr>
          <w:rFonts w:ascii="Calibri" w:hAnsi="Calibri" w:cs="Calibri"/>
          <w:i/>
          <w:iCs/>
          <w:sz w:val="22"/>
          <w:szCs w:val="22"/>
        </w:rPr>
      </w:pPr>
      <w:r w:rsidRPr="005609D4">
        <w:rPr>
          <w:rFonts w:ascii="Calibri" w:hAnsi="Calibri" w:cs="Calibri"/>
          <w:i/>
          <w:iCs/>
          <w:sz w:val="22"/>
          <w:szCs w:val="22"/>
        </w:rPr>
        <w:t>Sample of 2020 and 2025 statements.</w:t>
      </w:r>
    </w:p>
    <w:tbl>
      <w:tblPr>
        <w:tblW w:w="9975" w:type="dxa"/>
        <w:tblLayout w:type="fixed"/>
        <w:tblLook w:val="0600" w:firstRow="0" w:lastRow="0" w:firstColumn="0" w:lastColumn="0" w:noHBand="1" w:noVBand="1"/>
      </w:tblPr>
      <w:tblGrid>
        <w:gridCol w:w="4350"/>
        <w:gridCol w:w="1290"/>
        <w:gridCol w:w="1470"/>
        <w:gridCol w:w="1425"/>
        <w:gridCol w:w="1440"/>
      </w:tblGrid>
      <w:tr w:rsidR="00D11CE4" w:rsidRPr="005609D4" w14:paraId="7823A065" w14:textId="77777777" w:rsidTr="00CF11F0">
        <w:trPr>
          <w:trHeight w:val="300"/>
        </w:trPr>
        <w:tc>
          <w:tcPr>
            <w:tcW w:w="4350" w:type="dxa"/>
            <w:tcBorders>
              <w:top w:val="single" w:sz="8" w:space="0" w:color="000000"/>
              <w:left w:val="nil"/>
              <w:bottom w:val="single" w:sz="8" w:space="0" w:color="000000"/>
              <w:right w:val="nil"/>
            </w:tcBorders>
            <w:tcMar>
              <w:top w:w="0" w:type="dxa"/>
              <w:left w:w="40" w:type="dxa"/>
              <w:bottom w:w="0" w:type="dxa"/>
              <w:right w:w="40" w:type="dxa"/>
            </w:tcMar>
            <w:vAlign w:val="bottom"/>
          </w:tcPr>
          <w:p w14:paraId="5CDAED8C"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Sample</w:t>
            </w:r>
          </w:p>
        </w:tc>
        <w:tc>
          <w:tcPr>
            <w:tcW w:w="1290" w:type="dxa"/>
            <w:tcBorders>
              <w:top w:val="single" w:sz="8" w:space="0" w:color="000000"/>
              <w:left w:val="nil"/>
              <w:bottom w:val="single" w:sz="8" w:space="0" w:color="000000"/>
              <w:right w:val="nil"/>
            </w:tcBorders>
            <w:tcMar>
              <w:top w:w="0" w:type="dxa"/>
              <w:left w:w="40" w:type="dxa"/>
              <w:bottom w:w="0" w:type="dxa"/>
              <w:right w:w="40" w:type="dxa"/>
            </w:tcMar>
            <w:vAlign w:val="bottom"/>
          </w:tcPr>
          <w:p w14:paraId="55D7F963"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b/>
                <w:bCs/>
                <w:sz w:val="22"/>
                <w:szCs w:val="22"/>
              </w:rPr>
              <w:t>College</w:t>
            </w:r>
          </w:p>
        </w:tc>
        <w:tc>
          <w:tcPr>
            <w:tcW w:w="1470" w:type="dxa"/>
            <w:tcBorders>
              <w:top w:val="single" w:sz="8" w:space="0" w:color="000000"/>
              <w:left w:val="nil"/>
              <w:bottom w:val="single" w:sz="8" w:space="0" w:color="000000"/>
              <w:right w:val="nil"/>
            </w:tcBorders>
            <w:tcMar>
              <w:top w:w="0" w:type="dxa"/>
              <w:left w:w="40" w:type="dxa"/>
              <w:bottom w:w="0" w:type="dxa"/>
              <w:right w:w="40" w:type="dxa"/>
            </w:tcMar>
            <w:vAlign w:val="bottom"/>
          </w:tcPr>
          <w:p w14:paraId="5987298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b/>
                <w:bCs/>
                <w:sz w:val="22"/>
                <w:szCs w:val="22"/>
              </w:rPr>
              <w:t>Polytechnic</w:t>
            </w:r>
          </w:p>
        </w:tc>
        <w:tc>
          <w:tcPr>
            <w:tcW w:w="1425" w:type="dxa"/>
            <w:tcBorders>
              <w:top w:val="single" w:sz="8" w:space="0" w:color="000000"/>
              <w:left w:val="nil"/>
              <w:bottom w:val="single" w:sz="8" w:space="0" w:color="000000"/>
              <w:right w:val="nil"/>
            </w:tcBorders>
            <w:tcMar>
              <w:top w:w="0" w:type="dxa"/>
              <w:left w:w="40" w:type="dxa"/>
              <w:bottom w:w="0" w:type="dxa"/>
              <w:right w:w="40" w:type="dxa"/>
            </w:tcMar>
            <w:vAlign w:val="bottom"/>
          </w:tcPr>
          <w:p w14:paraId="3150DC5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b/>
                <w:bCs/>
                <w:sz w:val="22"/>
                <w:szCs w:val="22"/>
              </w:rPr>
              <w:t>University</w:t>
            </w:r>
          </w:p>
        </w:tc>
        <w:tc>
          <w:tcPr>
            <w:tcW w:w="1440" w:type="dxa"/>
            <w:tcBorders>
              <w:top w:val="single" w:sz="8" w:space="0" w:color="000000"/>
              <w:left w:val="nil"/>
              <w:bottom w:val="single" w:sz="8" w:space="0" w:color="000000"/>
              <w:right w:val="nil"/>
            </w:tcBorders>
            <w:tcMar>
              <w:top w:w="0" w:type="dxa"/>
              <w:left w:w="40" w:type="dxa"/>
              <w:bottom w:w="0" w:type="dxa"/>
              <w:right w:w="40" w:type="dxa"/>
            </w:tcMar>
            <w:vAlign w:val="bottom"/>
          </w:tcPr>
          <w:p w14:paraId="062297BB"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b/>
                <w:bCs/>
                <w:sz w:val="22"/>
                <w:szCs w:val="22"/>
              </w:rPr>
              <w:t>Grand Total</w:t>
            </w:r>
          </w:p>
        </w:tc>
      </w:tr>
      <w:tr w:rsidR="00D11CE4" w:rsidRPr="005609D4" w14:paraId="10A89DF4" w14:textId="77777777" w:rsidTr="00CF11F0">
        <w:trPr>
          <w:trHeight w:val="300"/>
        </w:trPr>
        <w:tc>
          <w:tcPr>
            <w:tcW w:w="4350" w:type="dxa"/>
            <w:tcBorders>
              <w:top w:val="single" w:sz="8" w:space="0" w:color="000000"/>
              <w:left w:val="nil"/>
              <w:bottom w:val="nil"/>
              <w:right w:val="nil"/>
            </w:tcBorders>
            <w:tcMar>
              <w:top w:w="0" w:type="dxa"/>
              <w:left w:w="40" w:type="dxa"/>
              <w:bottom w:w="0" w:type="dxa"/>
              <w:right w:w="40" w:type="dxa"/>
            </w:tcMar>
            <w:vAlign w:val="bottom"/>
          </w:tcPr>
          <w:p w14:paraId="09CD3D2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 of institutions</w:t>
            </w:r>
          </w:p>
        </w:tc>
        <w:tc>
          <w:tcPr>
            <w:tcW w:w="1290" w:type="dxa"/>
            <w:tcBorders>
              <w:top w:val="single" w:sz="8" w:space="0" w:color="000000"/>
              <w:left w:val="nil"/>
              <w:bottom w:val="nil"/>
              <w:right w:val="nil"/>
            </w:tcBorders>
            <w:tcMar>
              <w:top w:w="0" w:type="dxa"/>
              <w:left w:w="40" w:type="dxa"/>
              <w:bottom w:w="0" w:type="dxa"/>
              <w:right w:w="40" w:type="dxa"/>
            </w:tcMar>
            <w:vAlign w:val="bottom"/>
          </w:tcPr>
          <w:p w14:paraId="21AEC6F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21</w:t>
            </w:r>
          </w:p>
        </w:tc>
        <w:tc>
          <w:tcPr>
            <w:tcW w:w="1470" w:type="dxa"/>
            <w:tcBorders>
              <w:top w:val="single" w:sz="8" w:space="0" w:color="000000"/>
              <w:left w:val="nil"/>
              <w:bottom w:val="nil"/>
              <w:right w:val="nil"/>
            </w:tcBorders>
            <w:tcMar>
              <w:top w:w="0" w:type="dxa"/>
              <w:left w:w="40" w:type="dxa"/>
              <w:bottom w:w="0" w:type="dxa"/>
              <w:right w:w="40" w:type="dxa"/>
            </w:tcMar>
            <w:vAlign w:val="bottom"/>
          </w:tcPr>
          <w:p w14:paraId="491409D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9</w:t>
            </w:r>
          </w:p>
        </w:tc>
        <w:tc>
          <w:tcPr>
            <w:tcW w:w="1425" w:type="dxa"/>
            <w:tcBorders>
              <w:top w:val="single" w:sz="8" w:space="0" w:color="000000"/>
              <w:left w:val="nil"/>
              <w:bottom w:val="nil"/>
              <w:right w:val="nil"/>
            </w:tcBorders>
            <w:tcMar>
              <w:top w:w="0" w:type="dxa"/>
              <w:left w:w="40" w:type="dxa"/>
              <w:bottom w:w="0" w:type="dxa"/>
              <w:right w:w="40" w:type="dxa"/>
            </w:tcMar>
            <w:vAlign w:val="bottom"/>
          </w:tcPr>
          <w:p w14:paraId="20CA263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51</w:t>
            </w:r>
          </w:p>
        </w:tc>
        <w:tc>
          <w:tcPr>
            <w:tcW w:w="1440" w:type="dxa"/>
            <w:tcBorders>
              <w:top w:val="single" w:sz="8" w:space="0" w:color="000000"/>
              <w:left w:val="nil"/>
              <w:bottom w:val="nil"/>
              <w:right w:val="nil"/>
            </w:tcBorders>
            <w:tcMar>
              <w:top w:w="0" w:type="dxa"/>
              <w:left w:w="40" w:type="dxa"/>
              <w:bottom w:w="0" w:type="dxa"/>
              <w:right w:w="40" w:type="dxa"/>
            </w:tcMar>
            <w:vAlign w:val="bottom"/>
          </w:tcPr>
          <w:p w14:paraId="0629E7A7"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81</w:t>
            </w:r>
          </w:p>
        </w:tc>
      </w:tr>
      <w:tr w:rsidR="00D11CE4" w:rsidRPr="005609D4" w14:paraId="74A36624" w14:textId="77777777" w:rsidTr="00CF11F0">
        <w:trPr>
          <w:trHeight w:val="300"/>
        </w:trPr>
        <w:tc>
          <w:tcPr>
            <w:tcW w:w="4350" w:type="dxa"/>
            <w:tcBorders>
              <w:top w:val="nil"/>
              <w:left w:val="nil"/>
              <w:bottom w:val="nil"/>
              <w:right w:val="nil"/>
            </w:tcBorders>
            <w:tcMar>
              <w:top w:w="0" w:type="dxa"/>
              <w:left w:w="40" w:type="dxa"/>
              <w:bottom w:w="0" w:type="dxa"/>
              <w:right w:w="40" w:type="dxa"/>
            </w:tcMar>
            <w:vAlign w:val="bottom"/>
          </w:tcPr>
          <w:p w14:paraId="2FC05A88"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 of docs</w:t>
            </w:r>
          </w:p>
        </w:tc>
        <w:tc>
          <w:tcPr>
            <w:tcW w:w="1290" w:type="dxa"/>
            <w:tcBorders>
              <w:top w:val="nil"/>
              <w:left w:val="nil"/>
              <w:bottom w:val="nil"/>
              <w:right w:val="nil"/>
            </w:tcBorders>
            <w:tcMar>
              <w:top w:w="0" w:type="dxa"/>
              <w:left w:w="40" w:type="dxa"/>
              <w:bottom w:w="0" w:type="dxa"/>
              <w:right w:w="40" w:type="dxa"/>
            </w:tcMar>
            <w:vAlign w:val="bottom"/>
          </w:tcPr>
          <w:p w14:paraId="015DD26D"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40 :</w:t>
            </w:r>
            <w:proofErr w:type="gramEnd"/>
            <w:r w:rsidRPr="005609D4">
              <w:rPr>
                <w:rFonts w:ascii="Calibri" w:hAnsi="Calibri" w:cs="Calibri"/>
                <w:sz w:val="22"/>
                <w:szCs w:val="22"/>
              </w:rPr>
              <w:t xml:space="preserve"> 419 </w:t>
            </w:r>
          </w:p>
        </w:tc>
        <w:tc>
          <w:tcPr>
            <w:tcW w:w="1470" w:type="dxa"/>
            <w:tcBorders>
              <w:top w:val="nil"/>
              <w:left w:val="nil"/>
              <w:bottom w:val="nil"/>
              <w:right w:val="nil"/>
            </w:tcBorders>
            <w:tcMar>
              <w:top w:w="0" w:type="dxa"/>
              <w:left w:w="40" w:type="dxa"/>
              <w:bottom w:w="0" w:type="dxa"/>
              <w:right w:w="40" w:type="dxa"/>
            </w:tcMar>
            <w:vAlign w:val="bottom"/>
          </w:tcPr>
          <w:p w14:paraId="075E49DC"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9 :</w:t>
            </w:r>
            <w:proofErr w:type="gramEnd"/>
            <w:r w:rsidRPr="005609D4">
              <w:rPr>
                <w:rFonts w:ascii="Calibri" w:hAnsi="Calibri" w:cs="Calibri"/>
                <w:sz w:val="22"/>
                <w:szCs w:val="22"/>
              </w:rPr>
              <w:t xml:space="preserve"> 259</w:t>
            </w:r>
          </w:p>
        </w:tc>
        <w:tc>
          <w:tcPr>
            <w:tcW w:w="1425" w:type="dxa"/>
            <w:tcBorders>
              <w:top w:val="nil"/>
              <w:left w:val="nil"/>
              <w:bottom w:val="nil"/>
              <w:right w:val="nil"/>
            </w:tcBorders>
            <w:tcMar>
              <w:top w:w="0" w:type="dxa"/>
              <w:left w:w="40" w:type="dxa"/>
              <w:bottom w:w="0" w:type="dxa"/>
              <w:right w:w="40" w:type="dxa"/>
            </w:tcMar>
            <w:vAlign w:val="bottom"/>
          </w:tcPr>
          <w:p w14:paraId="4744417B"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96 :</w:t>
            </w:r>
            <w:proofErr w:type="gramEnd"/>
            <w:r w:rsidRPr="005609D4">
              <w:rPr>
                <w:rFonts w:ascii="Calibri" w:hAnsi="Calibri" w:cs="Calibri"/>
                <w:sz w:val="22"/>
                <w:szCs w:val="22"/>
              </w:rPr>
              <w:t xml:space="preserve"> 1519</w:t>
            </w:r>
          </w:p>
        </w:tc>
        <w:tc>
          <w:tcPr>
            <w:tcW w:w="1440" w:type="dxa"/>
            <w:tcBorders>
              <w:top w:val="nil"/>
              <w:left w:val="nil"/>
              <w:bottom w:val="nil"/>
              <w:right w:val="nil"/>
            </w:tcBorders>
            <w:tcMar>
              <w:top w:w="0" w:type="dxa"/>
              <w:left w:w="40" w:type="dxa"/>
              <w:bottom w:w="0" w:type="dxa"/>
              <w:right w:w="40" w:type="dxa"/>
            </w:tcMar>
            <w:vAlign w:val="bottom"/>
          </w:tcPr>
          <w:p w14:paraId="2090F8BE" w14:textId="77777777" w:rsidR="00D11CE4" w:rsidRPr="005609D4" w:rsidRDefault="00D11CE4" w:rsidP="00CF11F0">
            <w:pPr>
              <w:widowControl w:val="0"/>
              <w:jc w:val="center"/>
              <w:rPr>
                <w:rFonts w:ascii="Calibri" w:hAnsi="Calibri" w:cs="Calibri"/>
                <w:b/>
                <w:bCs/>
                <w:sz w:val="22"/>
                <w:szCs w:val="22"/>
              </w:rPr>
            </w:pPr>
            <w:proofErr w:type="gramStart"/>
            <w:r w:rsidRPr="005609D4">
              <w:rPr>
                <w:rFonts w:ascii="Calibri" w:hAnsi="Calibri" w:cs="Calibri"/>
                <w:b/>
                <w:bCs/>
                <w:sz w:val="22"/>
                <w:szCs w:val="22"/>
              </w:rPr>
              <w:t>144 :</w:t>
            </w:r>
            <w:proofErr w:type="gramEnd"/>
            <w:r w:rsidRPr="005609D4">
              <w:rPr>
                <w:rFonts w:ascii="Calibri" w:hAnsi="Calibri" w:cs="Calibri"/>
                <w:b/>
                <w:bCs/>
                <w:sz w:val="22"/>
                <w:szCs w:val="22"/>
              </w:rPr>
              <w:t xml:space="preserve"> 2200</w:t>
            </w:r>
          </w:p>
        </w:tc>
      </w:tr>
      <w:tr w:rsidR="00D11CE4" w:rsidRPr="005609D4" w14:paraId="107F6940" w14:textId="77777777" w:rsidTr="00CF11F0">
        <w:trPr>
          <w:trHeight w:val="285"/>
        </w:trPr>
        <w:tc>
          <w:tcPr>
            <w:tcW w:w="4350" w:type="dxa"/>
            <w:tcBorders>
              <w:top w:val="nil"/>
              <w:left w:val="nil"/>
              <w:bottom w:val="nil"/>
              <w:right w:val="nil"/>
            </w:tcBorders>
            <w:tcMar>
              <w:top w:w="0" w:type="dxa"/>
              <w:left w:w="40" w:type="dxa"/>
              <w:bottom w:w="0" w:type="dxa"/>
              <w:right w:w="40" w:type="dxa"/>
            </w:tcMar>
            <w:vAlign w:val="bottom"/>
          </w:tcPr>
          <w:p w14:paraId="3B925A1B"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 xml:space="preserve"># of </w:t>
            </w:r>
            <w:proofErr w:type="spellStart"/>
            <w:proofErr w:type="gramStart"/>
            <w:r w:rsidRPr="005609D4">
              <w:rPr>
                <w:rFonts w:ascii="Calibri" w:hAnsi="Calibri" w:cs="Calibri"/>
                <w:sz w:val="22"/>
                <w:szCs w:val="22"/>
              </w:rPr>
              <w:t>sources:docs</w:t>
            </w:r>
            <w:proofErr w:type="spellEnd"/>
            <w:proofErr w:type="gramEnd"/>
            <w:r w:rsidRPr="005609D4">
              <w:rPr>
                <w:rFonts w:ascii="Calibri" w:hAnsi="Calibri" w:cs="Calibri"/>
                <w:sz w:val="22"/>
                <w:szCs w:val="22"/>
              </w:rPr>
              <w:t xml:space="preserve"> per institution (on average)</w:t>
            </w:r>
          </w:p>
        </w:tc>
        <w:tc>
          <w:tcPr>
            <w:tcW w:w="1290" w:type="dxa"/>
            <w:tcBorders>
              <w:top w:val="nil"/>
              <w:left w:val="nil"/>
              <w:bottom w:val="nil"/>
              <w:right w:val="nil"/>
            </w:tcBorders>
            <w:tcMar>
              <w:top w:w="0" w:type="dxa"/>
              <w:left w:w="40" w:type="dxa"/>
              <w:bottom w:w="0" w:type="dxa"/>
              <w:right w:w="40" w:type="dxa"/>
            </w:tcMar>
            <w:vAlign w:val="bottom"/>
          </w:tcPr>
          <w:p w14:paraId="78978E5A"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1.9 :</w:t>
            </w:r>
            <w:proofErr w:type="gramEnd"/>
            <w:r w:rsidRPr="005609D4">
              <w:rPr>
                <w:rFonts w:ascii="Calibri" w:hAnsi="Calibri" w:cs="Calibri"/>
                <w:sz w:val="22"/>
                <w:szCs w:val="22"/>
              </w:rPr>
              <w:t xml:space="preserve"> 20.0</w:t>
            </w:r>
          </w:p>
        </w:tc>
        <w:tc>
          <w:tcPr>
            <w:tcW w:w="1470" w:type="dxa"/>
            <w:tcBorders>
              <w:top w:val="nil"/>
              <w:left w:val="nil"/>
              <w:bottom w:val="nil"/>
              <w:right w:val="nil"/>
            </w:tcBorders>
            <w:tcMar>
              <w:top w:w="0" w:type="dxa"/>
              <w:left w:w="40" w:type="dxa"/>
              <w:bottom w:w="0" w:type="dxa"/>
              <w:right w:w="40" w:type="dxa"/>
            </w:tcMar>
            <w:vAlign w:val="bottom"/>
          </w:tcPr>
          <w:p w14:paraId="693D1D03"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1.1 :</w:t>
            </w:r>
            <w:proofErr w:type="gramEnd"/>
            <w:r w:rsidRPr="005609D4">
              <w:rPr>
                <w:rFonts w:ascii="Calibri" w:hAnsi="Calibri" w:cs="Calibri"/>
                <w:sz w:val="22"/>
                <w:szCs w:val="22"/>
              </w:rPr>
              <w:t xml:space="preserve"> 29.1</w:t>
            </w:r>
          </w:p>
        </w:tc>
        <w:tc>
          <w:tcPr>
            <w:tcW w:w="1425" w:type="dxa"/>
            <w:tcBorders>
              <w:top w:val="nil"/>
              <w:left w:val="nil"/>
              <w:bottom w:val="nil"/>
              <w:right w:val="nil"/>
            </w:tcBorders>
            <w:tcMar>
              <w:top w:w="0" w:type="dxa"/>
              <w:left w:w="40" w:type="dxa"/>
              <w:bottom w:w="0" w:type="dxa"/>
              <w:right w:w="40" w:type="dxa"/>
            </w:tcMar>
            <w:vAlign w:val="bottom"/>
          </w:tcPr>
          <w:p w14:paraId="688EE1EA"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1.9 :</w:t>
            </w:r>
            <w:proofErr w:type="gramEnd"/>
            <w:r w:rsidRPr="005609D4">
              <w:rPr>
                <w:rFonts w:ascii="Calibri" w:hAnsi="Calibri" w:cs="Calibri"/>
                <w:sz w:val="22"/>
                <w:szCs w:val="22"/>
              </w:rPr>
              <w:t xml:space="preserve"> 29.8</w:t>
            </w:r>
          </w:p>
        </w:tc>
        <w:tc>
          <w:tcPr>
            <w:tcW w:w="1440" w:type="dxa"/>
            <w:tcBorders>
              <w:top w:val="nil"/>
              <w:left w:val="nil"/>
              <w:bottom w:val="nil"/>
              <w:right w:val="nil"/>
            </w:tcBorders>
            <w:tcMar>
              <w:top w:w="0" w:type="dxa"/>
              <w:left w:w="40" w:type="dxa"/>
              <w:bottom w:w="0" w:type="dxa"/>
              <w:right w:w="40" w:type="dxa"/>
            </w:tcMar>
            <w:vAlign w:val="bottom"/>
          </w:tcPr>
          <w:p w14:paraId="4C7DC871" w14:textId="77777777" w:rsidR="00D11CE4" w:rsidRPr="005609D4" w:rsidRDefault="00D11CE4" w:rsidP="00CF11F0">
            <w:pPr>
              <w:widowControl w:val="0"/>
              <w:jc w:val="center"/>
              <w:rPr>
                <w:rFonts w:ascii="Calibri" w:hAnsi="Calibri" w:cs="Calibri"/>
                <w:b/>
                <w:bCs/>
                <w:sz w:val="22"/>
                <w:szCs w:val="22"/>
              </w:rPr>
            </w:pPr>
            <w:proofErr w:type="gramStart"/>
            <w:r w:rsidRPr="005609D4">
              <w:rPr>
                <w:rFonts w:ascii="Calibri" w:hAnsi="Calibri" w:cs="Calibri"/>
                <w:b/>
                <w:bCs/>
                <w:sz w:val="22"/>
                <w:szCs w:val="22"/>
              </w:rPr>
              <w:t>1.8 :</w:t>
            </w:r>
            <w:proofErr w:type="gramEnd"/>
            <w:r w:rsidRPr="005609D4">
              <w:rPr>
                <w:rFonts w:ascii="Calibri" w:hAnsi="Calibri" w:cs="Calibri"/>
                <w:b/>
                <w:bCs/>
                <w:sz w:val="22"/>
                <w:szCs w:val="22"/>
              </w:rPr>
              <w:t xml:space="preserve"> 27.2</w:t>
            </w:r>
          </w:p>
        </w:tc>
      </w:tr>
      <w:tr w:rsidR="00D11CE4" w:rsidRPr="005609D4" w14:paraId="5E9EBB30" w14:textId="77777777" w:rsidTr="00CF11F0">
        <w:trPr>
          <w:trHeight w:val="300"/>
        </w:trPr>
        <w:tc>
          <w:tcPr>
            <w:tcW w:w="4350" w:type="dxa"/>
            <w:tcBorders>
              <w:top w:val="nil"/>
              <w:left w:val="nil"/>
              <w:bottom w:val="nil"/>
              <w:right w:val="nil"/>
            </w:tcBorders>
            <w:tcMar>
              <w:top w:w="0" w:type="dxa"/>
              <w:left w:w="40" w:type="dxa"/>
              <w:bottom w:w="0" w:type="dxa"/>
              <w:right w:w="40" w:type="dxa"/>
            </w:tcMar>
            <w:vAlign w:val="bottom"/>
          </w:tcPr>
          <w:p w14:paraId="02F579B2"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 of Statements</w:t>
            </w:r>
          </w:p>
        </w:tc>
        <w:tc>
          <w:tcPr>
            <w:tcW w:w="1290" w:type="dxa"/>
            <w:tcBorders>
              <w:top w:val="nil"/>
              <w:left w:val="nil"/>
              <w:bottom w:val="nil"/>
              <w:right w:val="nil"/>
            </w:tcBorders>
            <w:tcMar>
              <w:top w:w="0" w:type="dxa"/>
              <w:left w:w="40" w:type="dxa"/>
              <w:bottom w:w="0" w:type="dxa"/>
              <w:right w:w="40" w:type="dxa"/>
            </w:tcMar>
            <w:vAlign w:val="bottom"/>
          </w:tcPr>
          <w:p w14:paraId="1E4A530B"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62 :</w:t>
            </w:r>
            <w:proofErr w:type="gramEnd"/>
            <w:r w:rsidRPr="005609D4">
              <w:rPr>
                <w:rFonts w:ascii="Calibri" w:hAnsi="Calibri" w:cs="Calibri"/>
                <w:sz w:val="22"/>
                <w:szCs w:val="22"/>
              </w:rPr>
              <w:t xml:space="preserve"> 433</w:t>
            </w:r>
          </w:p>
        </w:tc>
        <w:tc>
          <w:tcPr>
            <w:tcW w:w="1470" w:type="dxa"/>
            <w:tcBorders>
              <w:top w:val="nil"/>
              <w:left w:val="nil"/>
              <w:bottom w:val="nil"/>
              <w:right w:val="nil"/>
            </w:tcBorders>
            <w:tcMar>
              <w:top w:w="0" w:type="dxa"/>
              <w:left w:w="40" w:type="dxa"/>
              <w:bottom w:w="0" w:type="dxa"/>
              <w:right w:w="40" w:type="dxa"/>
            </w:tcMar>
            <w:vAlign w:val="bottom"/>
          </w:tcPr>
          <w:p w14:paraId="24609B60"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13 :</w:t>
            </w:r>
            <w:proofErr w:type="gramEnd"/>
            <w:r w:rsidRPr="005609D4">
              <w:rPr>
                <w:rFonts w:ascii="Calibri" w:hAnsi="Calibri" w:cs="Calibri"/>
                <w:sz w:val="22"/>
                <w:szCs w:val="22"/>
              </w:rPr>
              <w:t xml:space="preserve"> 292</w:t>
            </w:r>
          </w:p>
        </w:tc>
        <w:tc>
          <w:tcPr>
            <w:tcW w:w="1425" w:type="dxa"/>
            <w:tcBorders>
              <w:top w:val="nil"/>
              <w:left w:val="nil"/>
              <w:bottom w:val="nil"/>
              <w:right w:val="nil"/>
            </w:tcBorders>
            <w:tcMar>
              <w:top w:w="0" w:type="dxa"/>
              <w:left w:w="40" w:type="dxa"/>
              <w:bottom w:w="0" w:type="dxa"/>
              <w:right w:w="40" w:type="dxa"/>
            </w:tcMar>
            <w:vAlign w:val="bottom"/>
          </w:tcPr>
          <w:p w14:paraId="29357C35"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182 :</w:t>
            </w:r>
            <w:proofErr w:type="gramEnd"/>
            <w:r w:rsidRPr="005609D4">
              <w:rPr>
                <w:rFonts w:ascii="Calibri" w:hAnsi="Calibri" w:cs="Calibri"/>
                <w:sz w:val="22"/>
                <w:szCs w:val="22"/>
              </w:rPr>
              <w:t xml:space="preserve"> 2092</w:t>
            </w:r>
          </w:p>
        </w:tc>
        <w:tc>
          <w:tcPr>
            <w:tcW w:w="1440" w:type="dxa"/>
            <w:tcBorders>
              <w:top w:val="nil"/>
              <w:left w:val="nil"/>
              <w:bottom w:val="nil"/>
              <w:right w:val="nil"/>
            </w:tcBorders>
            <w:tcMar>
              <w:top w:w="0" w:type="dxa"/>
              <w:left w:w="40" w:type="dxa"/>
              <w:bottom w:w="0" w:type="dxa"/>
              <w:right w:w="40" w:type="dxa"/>
            </w:tcMar>
            <w:vAlign w:val="bottom"/>
          </w:tcPr>
          <w:p w14:paraId="03EAB7ED" w14:textId="77777777" w:rsidR="00D11CE4" w:rsidRPr="005609D4" w:rsidRDefault="00D11CE4" w:rsidP="00CF11F0">
            <w:pPr>
              <w:widowControl w:val="0"/>
              <w:jc w:val="center"/>
              <w:rPr>
                <w:rFonts w:ascii="Calibri" w:hAnsi="Calibri" w:cs="Calibri"/>
                <w:b/>
                <w:bCs/>
                <w:sz w:val="22"/>
                <w:szCs w:val="22"/>
              </w:rPr>
            </w:pPr>
            <w:proofErr w:type="gramStart"/>
            <w:r w:rsidRPr="005609D4">
              <w:rPr>
                <w:rFonts w:ascii="Calibri" w:hAnsi="Calibri" w:cs="Calibri"/>
                <w:b/>
                <w:bCs/>
                <w:sz w:val="22"/>
                <w:szCs w:val="22"/>
              </w:rPr>
              <w:t>257 :</w:t>
            </w:r>
            <w:proofErr w:type="gramEnd"/>
            <w:r w:rsidRPr="005609D4">
              <w:rPr>
                <w:rFonts w:ascii="Calibri" w:hAnsi="Calibri" w:cs="Calibri"/>
                <w:b/>
                <w:bCs/>
                <w:sz w:val="22"/>
                <w:szCs w:val="22"/>
              </w:rPr>
              <w:t xml:space="preserve"> 2817</w:t>
            </w:r>
          </w:p>
        </w:tc>
      </w:tr>
      <w:tr w:rsidR="00D11CE4" w:rsidRPr="005609D4" w14:paraId="7D61A440" w14:textId="77777777" w:rsidTr="00CF11F0">
        <w:trPr>
          <w:trHeight w:val="270"/>
        </w:trPr>
        <w:tc>
          <w:tcPr>
            <w:tcW w:w="4350" w:type="dxa"/>
            <w:tcBorders>
              <w:top w:val="nil"/>
              <w:left w:val="nil"/>
              <w:bottom w:val="nil"/>
              <w:right w:val="nil"/>
            </w:tcBorders>
            <w:tcMar>
              <w:top w:w="0" w:type="dxa"/>
              <w:left w:w="40" w:type="dxa"/>
              <w:bottom w:w="0" w:type="dxa"/>
              <w:right w:w="40" w:type="dxa"/>
            </w:tcMar>
            <w:vAlign w:val="bottom"/>
          </w:tcPr>
          <w:p w14:paraId="0A801435"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 xml:space="preserve"># of </w:t>
            </w:r>
            <w:proofErr w:type="spellStart"/>
            <w:proofErr w:type="gramStart"/>
            <w:r w:rsidRPr="005609D4">
              <w:rPr>
                <w:rFonts w:ascii="Calibri" w:hAnsi="Calibri" w:cs="Calibri"/>
                <w:sz w:val="22"/>
                <w:szCs w:val="22"/>
              </w:rPr>
              <w:t>sources:docs</w:t>
            </w:r>
            <w:proofErr w:type="spellEnd"/>
            <w:proofErr w:type="gramEnd"/>
            <w:r w:rsidRPr="005609D4">
              <w:rPr>
                <w:rFonts w:ascii="Calibri" w:hAnsi="Calibri" w:cs="Calibri"/>
                <w:sz w:val="22"/>
                <w:szCs w:val="22"/>
              </w:rPr>
              <w:t xml:space="preserve"> per institution (on average)</w:t>
            </w:r>
          </w:p>
        </w:tc>
        <w:tc>
          <w:tcPr>
            <w:tcW w:w="1290" w:type="dxa"/>
            <w:tcBorders>
              <w:top w:val="nil"/>
              <w:left w:val="nil"/>
              <w:bottom w:val="nil"/>
              <w:right w:val="nil"/>
            </w:tcBorders>
            <w:tcMar>
              <w:top w:w="0" w:type="dxa"/>
              <w:left w:w="40" w:type="dxa"/>
              <w:bottom w:w="0" w:type="dxa"/>
              <w:right w:w="40" w:type="dxa"/>
            </w:tcMar>
            <w:vAlign w:val="bottom"/>
          </w:tcPr>
          <w:p w14:paraId="6E93DAB7"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3.0 :</w:t>
            </w:r>
            <w:proofErr w:type="gramEnd"/>
            <w:r w:rsidRPr="005609D4">
              <w:rPr>
                <w:rFonts w:ascii="Calibri" w:hAnsi="Calibri" w:cs="Calibri"/>
                <w:sz w:val="22"/>
                <w:szCs w:val="22"/>
              </w:rPr>
              <w:t xml:space="preserve"> 20.6</w:t>
            </w:r>
          </w:p>
        </w:tc>
        <w:tc>
          <w:tcPr>
            <w:tcW w:w="1470" w:type="dxa"/>
            <w:tcBorders>
              <w:top w:val="nil"/>
              <w:left w:val="nil"/>
              <w:bottom w:val="nil"/>
              <w:right w:val="nil"/>
            </w:tcBorders>
            <w:tcMar>
              <w:top w:w="0" w:type="dxa"/>
              <w:left w:w="40" w:type="dxa"/>
              <w:bottom w:w="0" w:type="dxa"/>
              <w:right w:w="40" w:type="dxa"/>
            </w:tcMar>
            <w:vAlign w:val="bottom"/>
          </w:tcPr>
          <w:p w14:paraId="393A97CA"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1.4 :</w:t>
            </w:r>
            <w:proofErr w:type="gramEnd"/>
            <w:r w:rsidRPr="005609D4">
              <w:rPr>
                <w:rFonts w:ascii="Calibri" w:hAnsi="Calibri" w:cs="Calibri"/>
                <w:sz w:val="22"/>
                <w:szCs w:val="22"/>
              </w:rPr>
              <w:t xml:space="preserve"> 32.4</w:t>
            </w:r>
          </w:p>
        </w:tc>
        <w:tc>
          <w:tcPr>
            <w:tcW w:w="1425" w:type="dxa"/>
            <w:tcBorders>
              <w:top w:val="nil"/>
              <w:left w:val="nil"/>
              <w:bottom w:val="nil"/>
              <w:right w:val="nil"/>
            </w:tcBorders>
            <w:tcMar>
              <w:top w:w="0" w:type="dxa"/>
              <w:left w:w="40" w:type="dxa"/>
              <w:bottom w:w="0" w:type="dxa"/>
              <w:right w:w="40" w:type="dxa"/>
            </w:tcMar>
            <w:vAlign w:val="bottom"/>
          </w:tcPr>
          <w:p w14:paraId="17DDFD39"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3.6 :</w:t>
            </w:r>
            <w:proofErr w:type="gramEnd"/>
            <w:r w:rsidRPr="005609D4">
              <w:rPr>
                <w:rFonts w:ascii="Calibri" w:hAnsi="Calibri" w:cs="Calibri"/>
                <w:sz w:val="22"/>
                <w:szCs w:val="22"/>
              </w:rPr>
              <w:t xml:space="preserve"> 41.0</w:t>
            </w:r>
          </w:p>
        </w:tc>
        <w:tc>
          <w:tcPr>
            <w:tcW w:w="1440" w:type="dxa"/>
            <w:tcBorders>
              <w:top w:val="nil"/>
              <w:left w:val="nil"/>
              <w:bottom w:val="nil"/>
              <w:right w:val="nil"/>
            </w:tcBorders>
            <w:tcMar>
              <w:top w:w="0" w:type="dxa"/>
              <w:left w:w="40" w:type="dxa"/>
              <w:bottom w:w="0" w:type="dxa"/>
              <w:right w:w="40" w:type="dxa"/>
            </w:tcMar>
            <w:vAlign w:val="bottom"/>
          </w:tcPr>
          <w:p w14:paraId="3A482935" w14:textId="77777777" w:rsidR="00D11CE4" w:rsidRPr="005609D4" w:rsidRDefault="00D11CE4" w:rsidP="00CF11F0">
            <w:pPr>
              <w:widowControl w:val="0"/>
              <w:jc w:val="center"/>
              <w:rPr>
                <w:rFonts w:ascii="Calibri" w:hAnsi="Calibri" w:cs="Calibri"/>
                <w:b/>
                <w:bCs/>
                <w:sz w:val="22"/>
                <w:szCs w:val="22"/>
              </w:rPr>
            </w:pPr>
            <w:proofErr w:type="gramStart"/>
            <w:r w:rsidRPr="005609D4">
              <w:rPr>
                <w:rFonts w:ascii="Calibri" w:hAnsi="Calibri" w:cs="Calibri"/>
                <w:b/>
                <w:bCs/>
                <w:sz w:val="22"/>
                <w:szCs w:val="22"/>
              </w:rPr>
              <w:t>3.2 :</w:t>
            </w:r>
            <w:proofErr w:type="gramEnd"/>
            <w:r w:rsidRPr="005609D4">
              <w:rPr>
                <w:rFonts w:ascii="Calibri" w:hAnsi="Calibri" w:cs="Calibri"/>
                <w:b/>
                <w:bCs/>
                <w:sz w:val="22"/>
                <w:szCs w:val="22"/>
              </w:rPr>
              <w:t xml:space="preserve"> 34.8</w:t>
            </w:r>
          </w:p>
        </w:tc>
      </w:tr>
      <w:tr w:rsidR="00D11CE4" w:rsidRPr="005609D4" w14:paraId="6F1A222F" w14:textId="77777777" w:rsidTr="00CF11F0">
        <w:trPr>
          <w:trHeight w:val="270"/>
        </w:trPr>
        <w:tc>
          <w:tcPr>
            <w:tcW w:w="4350" w:type="dxa"/>
            <w:tcBorders>
              <w:top w:val="nil"/>
              <w:left w:val="nil"/>
              <w:bottom w:val="single" w:sz="8" w:space="0" w:color="000000"/>
              <w:right w:val="nil"/>
            </w:tcBorders>
            <w:tcMar>
              <w:top w:w="0" w:type="dxa"/>
              <w:left w:w="40" w:type="dxa"/>
              <w:bottom w:w="0" w:type="dxa"/>
              <w:right w:w="40" w:type="dxa"/>
            </w:tcMar>
            <w:vAlign w:val="bottom"/>
          </w:tcPr>
          <w:p w14:paraId="25E72ED3"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 of statements per document</w:t>
            </w:r>
          </w:p>
        </w:tc>
        <w:tc>
          <w:tcPr>
            <w:tcW w:w="1290" w:type="dxa"/>
            <w:tcBorders>
              <w:top w:val="nil"/>
              <w:left w:val="nil"/>
              <w:bottom w:val="single" w:sz="8" w:space="0" w:color="000000"/>
              <w:right w:val="nil"/>
            </w:tcBorders>
            <w:tcMar>
              <w:top w:w="0" w:type="dxa"/>
              <w:left w:w="40" w:type="dxa"/>
              <w:bottom w:w="0" w:type="dxa"/>
              <w:right w:w="40" w:type="dxa"/>
            </w:tcMar>
            <w:vAlign w:val="bottom"/>
          </w:tcPr>
          <w:p w14:paraId="30FC2CFE"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1.55 :</w:t>
            </w:r>
            <w:proofErr w:type="gramEnd"/>
            <w:r w:rsidRPr="005609D4">
              <w:rPr>
                <w:rFonts w:ascii="Calibri" w:hAnsi="Calibri" w:cs="Calibri"/>
                <w:sz w:val="22"/>
                <w:szCs w:val="22"/>
              </w:rPr>
              <w:t xml:space="preserve"> 1.03</w:t>
            </w:r>
          </w:p>
        </w:tc>
        <w:tc>
          <w:tcPr>
            <w:tcW w:w="1470" w:type="dxa"/>
            <w:tcBorders>
              <w:top w:val="nil"/>
              <w:left w:val="nil"/>
              <w:bottom w:val="single" w:sz="8" w:space="0" w:color="000000"/>
              <w:right w:val="nil"/>
            </w:tcBorders>
            <w:tcMar>
              <w:top w:w="0" w:type="dxa"/>
              <w:left w:w="40" w:type="dxa"/>
              <w:bottom w:w="0" w:type="dxa"/>
              <w:right w:w="40" w:type="dxa"/>
            </w:tcMar>
            <w:vAlign w:val="bottom"/>
          </w:tcPr>
          <w:p w14:paraId="5556EC08"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1.30 :</w:t>
            </w:r>
            <w:proofErr w:type="gramEnd"/>
            <w:r w:rsidRPr="005609D4">
              <w:rPr>
                <w:rFonts w:ascii="Calibri" w:hAnsi="Calibri" w:cs="Calibri"/>
                <w:sz w:val="22"/>
                <w:szCs w:val="22"/>
              </w:rPr>
              <w:t xml:space="preserve"> 1.11</w:t>
            </w:r>
          </w:p>
        </w:tc>
        <w:tc>
          <w:tcPr>
            <w:tcW w:w="1425" w:type="dxa"/>
            <w:tcBorders>
              <w:top w:val="nil"/>
              <w:left w:val="nil"/>
              <w:bottom w:val="single" w:sz="8" w:space="0" w:color="000000"/>
              <w:right w:val="nil"/>
            </w:tcBorders>
            <w:tcMar>
              <w:top w:w="0" w:type="dxa"/>
              <w:left w:w="40" w:type="dxa"/>
              <w:bottom w:w="0" w:type="dxa"/>
              <w:right w:w="40" w:type="dxa"/>
            </w:tcMar>
            <w:vAlign w:val="bottom"/>
          </w:tcPr>
          <w:p w14:paraId="02A9CDFF" w14:textId="77777777" w:rsidR="00D11CE4" w:rsidRPr="005609D4" w:rsidRDefault="00D11CE4" w:rsidP="00CF11F0">
            <w:pPr>
              <w:widowControl w:val="0"/>
              <w:jc w:val="center"/>
              <w:rPr>
                <w:rFonts w:ascii="Calibri" w:hAnsi="Calibri" w:cs="Calibri"/>
                <w:sz w:val="22"/>
                <w:szCs w:val="22"/>
              </w:rPr>
            </w:pPr>
            <w:proofErr w:type="gramStart"/>
            <w:r w:rsidRPr="005609D4">
              <w:rPr>
                <w:rFonts w:ascii="Calibri" w:hAnsi="Calibri" w:cs="Calibri"/>
                <w:sz w:val="22"/>
                <w:szCs w:val="22"/>
              </w:rPr>
              <w:t>1.90 :</w:t>
            </w:r>
            <w:proofErr w:type="gramEnd"/>
            <w:r w:rsidRPr="005609D4">
              <w:rPr>
                <w:rFonts w:ascii="Calibri" w:hAnsi="Calibri" w:cs="Calibri"/>
                <w:sz w:val="22"/>
                <w:szCs w:val="22"/>
              </w:rPr>
              <w:t xml:space="preserve"> 1.38</w:t>
            </w:r>
          </w:p>
        </w:tc>
        <w:tc>
          <w:tcPr>
            <w:tcW w:w="1440" w:type="dxa"/>
            <w:tcBorders>
              <w:top w:val="nil"/>
              <w:left w:val="nil"/>
              <w:bottom w:val="single" w:sz="8" w:space="0" w:color="000000"/>
              <w:right w:val="nil"/>
            </w:tcBorders>
            <w:tcMar>
              <w:top w:w="0" w:type="dxa"/>
              <w:left w:w="40" w:type="dxa"/>
              <w:bottom w:w="0" w:type="dxa"/>
              <w:right w:w="40" w:type="dxa"/>
            </w:tcMar>
            <w:vAlign w:val="bottom"/>
          </w:tcPr>
          <w:p w14:paraId="47505001" w14:textId="77777777" w:rsidR="00D11CE4" w:rsidRPr="005609D4" w:rsidRDefault="00D11CE4" w:rsidP="00CF11F0">
            <w:pPr>
              <w:widowControl w:val="0"/>
              <w:jc w:val="center"/>
              <w:rPr>
                <w:rFonts w:ascii="Calibri" w:hAnsi="Calibri" w:cs="Calibri"/>
                <w:b/>
                <w:bCs/>
                <w:sz w:val="22"/>
                <w:szCs w:val="22"/>
              </w:rPr>
            </w:pPr>
            <w:proofErr w:type="gramStart"/>
            <w:r w:rsidRPr="005609D4">
              <w:rPr>
                <w:rFonts w:ascii="Calibri" w:hAnsi="Calibri" w:cs="Calibri"/>
                <w:b/>
                <w:bCs/>
                <w:sz w:val="22"/>
                <w:szCs w:val="22"/>
              </w:rPr>
              <w:t>1.78 :</w:t>
            </w:r>
            <w:proofErr w:type="gramEnd"/>
            <w:r w:rsidRPr="005609D4">
              <w:rPr>
                <w:rFonts w:ascii="Calibri" w:hAnsi="Calibri" w:cs="Calibri"/>
                <w:b/>
                <w:bCs/>
                <w:sz w:val="22"/>
                <w:szCs w:val="22"/>
              </w:rPr>
              <w:t xml:space="preserve"> 1.28</w:t>
            </w:r>
          </w:p>
        </w:tc>
      </w:tr>
    </w:tbl>
    <w:p w14:paraId="589E6487" w14:textId="77777777" w:rsidR="00D11CE4" w:rsidRPr="005609D4" w:rsidRDefault="00D11CE4" w:rsidP="00D11CE4">
      <w:pPr>
        <w:spacing w:after="200"/>
        <w:rPr>
          <w:rFonts w:ascii="Calibri" w:hAnsi="Calibri" w:cs="Calibri"/>
          <w:sz w:val="22"/>
          <w:szCs w:val="22"/>
        </w:rPr>
      </w:pPr>
      <w:r w:rsidRPr="005609D4">
        <w:rPr>
          <w:rFonts w:ascii="Calibri" w:hAnsi="Calibri" w:cs="Calibri"/>
          <w:sz w:val="22"/>
          <w:szCs w:val="22"/>
        </w:rPr>
        <w:t xml:space="preserve">Note: </w:t>
      </w:r>
      <w:proofErr w:type="gramStart"/>
      <w:r w:rsidRPr="005609D4">
        <w:rPr>
          <w:rFonts w:ascii="Calibri" w:hAnsi="Calibri" w:cs="Calibri"/>
          <w:sz w:val="22"/>
          <w:szCs w:val="22"/>
        </w:rPr>
        <w:t>2020 :</w:t>
      </w:r>
      <w:proofErr w:type="gramEnd"/>
      <w:r w:rsidRPr="005609D4">
        <w:rPr>
          <w:rFonts w:ascii="Calibri" w:hAnsi="Calibri" w:cs="Calibri"/>
          <w:sz w:val="22"/>
          <w:szCs w:val="22"/>
        </w:rPr>
        <w:t xml:space="preserve"> 2025 values.  Number of institutions is the same</w:t>
      </w:r>
    </w:p>
    <w:p w14:paraId="16AEEAF3" w14:textId="77777777" w:rsidR="00D11CE4" w:rsidRPr="005609D4" w:rsidRDefault="00D11CE4" w:rsidP="005609D4">
      <w:pPr>
        <w:spacing w:line="480" w:lineRule="auto"/>
        <w:rPr>
          <w:rFonts w:ascii="Calibri" w:hAnsi="Calibri" w:cs="Calibri"/>
          <w:b/>
          <w:bCs/>
          <w:sz w:val="22"/>
          <w:szCs w:val="22"/>
          <w:lang w:val="en-US"/>
        </w:rPr>
      </w:pPr>
    </w:p>
    <w:p w14:paraId="4B1B3D86" w14:textId="77777777" w:rsidR="00D11CE4" w:rsidRPr="005609D4" w:rsidRDefault="00D11CE4" w:rsidP="00D11CE4">
      <w:pPr>
        <w:spacing w:line="480" w:lineRule="auto"/>
        <w:rPr>
          <w:rFonts w:ascii="Calibri" w:hAnsi="Calibri" w:cs="Calibri"/>
          <w:b/>
          <w:bCs/>
          <w:sz w:val="22"/>
          <w:szCs w:val="22"/>
        </w:rPr>
      </w:pPr>
      <w:r w:rsidRPr="005609D4">
        <w:rPr>
          <w:rFonts w:ascii="Calibri" w:hAnsi="Calibri" w:cs="Calibri"/>
          <w:b/>
          <w:bCs/>
          <w:sz w:val="22"/>
          <w:szCs w:val="22"/>
        </w:rPr>
        <w:t>Figure 1</w:t>
      </w:r>
    </w:p>
    <w:p w14:paraId="6F1418A4" w14:textId="77777777" w:rsidR="00D11CE4" w:rsidRPr="005609D4" w:rsidRDefault="00D11CE4" w:rsidP="00D11CE4">
      <w:pPr>
        <w:spacing w:line="480" w:lineRule="auto"/>
        <w:rPr>
          <w:rFonts w:ascii="Calibri" w:hAnsi="Calibri" w:cs="Calibri"/>
          <w:i/>
          <w:iCs/>
          <w:sz w:val="22"/>
          <w:szCs w:val="22"/>
        </w:rPr>
      </w:pPr>
      <w:r w:rsidRPr="005609D4">
        <w:rPr>
          <w:rFonts w:ascii="Calibri" w:hAnsi="Calibri" w:cs="Calibri"/>
          <w:i/>
          <w:iCs/>
          <w:sz w:val="22"/>
          <w:szCs w:val="22"/>
        </w:rPr>
        <w:t>Canadian PSI intended EL or WIL outcomes.</w:t>
      </w:r>
    </w:p>
    <w:p w14:paraId="036F13ED" w14:textId="7102390C" w:rsidR="00D11CE4" w:rsidRPr="005609D4" w:rsidRDefault="00D11CE4" w:rsidP="00D11CE4">
      <w:pPr>
        <w:spacing w:line="480" w:lineRule="auto"/>
        <w:jc w:val="center"/>
        <w:rPr>
          <w:rFonts w:ascii="Calibri" w:hAnsi="Calibri" w:cs="Calibri"/>
          <w:b/>
          <w:bCs/>
          <w:sz w:val="22"/>
          <w:szCs w:val="22"/>
          <w:lang w:val="en-US"/>
        </w:rPr>
      </w:pPr>
      <w:r w:rsidRPr="005609D4">
        <w:rPr>
          <w:rFonts w:ascii="Calibri" w:hAnsi="Calibri" w:cs="Calibri"/>
          <w:noProof/>
          <w:sz w:val="22"/>
          <w:szCs w:val="22"/>
        </w:rPr>
        <w:drawing>
          <wp:inline distT="114300" distB="114300" distL="114300" distR="114300" wp14:anchorId="7D5369BB" wp14:editId="040C2C30">
            <wp:extent cx="5557838" cy="1877991"/>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5557838" cy="1877991"/>
                    </a:xfrm>
                    <a:prstGeom prst="rect">
                      <a:avLst/>
                    </a:prstGeom>
                    <a:ln/>
                  </pic:spPr>
                </pic:pic>
              </a:graphicData>
            </a:graphic>
          </wp:inline>
        </w:drawing>
      </w:r>
    </w:p>
    <w:p w14:paraId="0147BF06" w14:textId="77777777" w:rsidR="00D11CE4" w:rsidRDefault="00D11CE4" w:rsidP="00D11CE4">
      <w:pPr>
        <w:spacing w:line="480" w:lineRule="auto"/>
        <w:jc w:val="center"/>
        <w:rPr>
          <w:rFonts w:ascii="Calibri" w:hAnsi="Calibri" w:cs="Calibri"/>
          <w:b/>
          <w:bCs/>
          <w:sz w:val="22"/>
          <w:szCs w:val="22"/>
          <w:lang w:val="en-US"/>
        </w:rPr>
      </w:pPr>
    </w:p>
    <w:p w14:paraId="539F1915" w14:textId="77777777" w:rsidR="005609D4" w:rsidRPr="005609D4" w:rsidRDefault="005609D4" w:rsidP="00D11CE4">
      <w:pPr>
        <w:spacing w:line="480" w:lineRule="auto"/>
        <w:jc w:val="center"/>
        <w:rPr>
          <w:rFonts w:ascii="Calibri" w:hAnsi="Calibri" w:cs="Calibri"/>
          <w:b/>
          <w:bCs/>
          <w:sz w:val="22"/>
          <w:szCs w:val="22"/>
          <w:lang w:val="en-US"/>
        </w:rPr>
      </w:pPr>
    </w:p>
    <w:p w14:paraId="6032B50C" w14:textId="77777777" w:rsidR="00D11CE4" w:rsidRPr="005609D4" w:rsidRDefault="00D11CE4" w:rsidP="00D11CE4">
      <w:pPr>
        <w:spacing w:before="200"/>
        <w:rPr>
          <w:rFonts w:ascii="Calibri" w:hAnsi="Calibri" w:cs="Calibri"/>
          <w:sz w:val="22"/>
          <w:szCs w:val="22"/>
        </w:rPr>
      </w:pPr>
      <w:r w:rsidRPr="005609D4">
        <w:rPr>
          <w:rFonts w:ascii="Calibri" w:hAnsi="Calibri" w:cs="Calibri"/>
          <w:b/>
          <w:bCs/>
          <w:sz w:val="22"/>
          <w:szCs w:val="22"/>
        </w:rPr>
        <w:lastRenderedPageBreak/>
        <w:t>Table 2</w:t>
      </w:r>
    </w:p>
    <w:p w14:paraId="14588A31" w14:textId="77777777" w:rsidR="00D11CE4" w:rsidRPr="005609D4" w:rsidRDefault="00D11CE4" w:rsidP="00D11CE4">
      <w:pPr>
        <w:spacing w:before="200"/>
        <w:rPr>
          <w:rFonts w:ascii="Calibri" w:hAnsi="Calibri" w:cs="Calibri"/>
          <w:i/>
          <w:iCs/>
          <w:sz w:val="22"/>
          <w:szCs w:val="22"/>
        </w:rPr>
      </w:pPr>
      <w:r w:rsidRPr="005609D4">
        <w:rPr>
          <w:rFonts w:ascii="Calibri" w:hAnsi="Calibri" w:cs="Calibri"/>
          <w:i/>
          <w:iCs/>
          <w:sz w:val="22"/>
          <w:szCs w:val="22"/>
        </w:rPr>
        <w:t>Intended outcome categories (% of outcome codes).</w:t>
      </w:r>
    </w:p>
    <w:tbl>
      <w:tblPr>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705"/>
        <w:gridCol w:w="735"/>
        <w:gridCol w:w="3510"/>
      </w:tblGrid>
      <w:tr w:rsidR="00D11CE4" w:rsidRPr="005609D4" w14:paraId="49330087" w14:textId="77777777" w:rsidTr="00CF11F0">
        <w:tc>
          <w:tcPr>
            <w:tcW w:w="445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14:paraId="23BA44CE" w14:textId="77777777" w:rsidR="00D11CE4" w:rsidRPr="005609D4" w:rsidRDefault="00D11CE4" w:rsidP="00CF11F0">
            <w:pPr>
              <w:widowControl w:val="0"/>
              <w:pBdr>
                <w:top w:val="nil"/>
                <w:left w:val="nil"/>
                <w:bottom w:val="nil"/>
                <w:right w:val="nil"/>
                <w:between w:val="nil"/>
              </w:pBdr>
              <w:rPr>
                <w:rFonts w:ascii="Calibri" w:hAnsi="Calibri" w:cs="Calibri"/>
                <w:b/>
                <w:bCs/>
                <w:sz w:val="22"/>
                <w:szCs w:val="22"/>
              </w:rPr>
            </w:pPr>
            <w:r w:rsidRPr="005609D4">
              <w:rPr>
                <w:rFonts w:ascii="Calibri" w:hAnsi="Calibri" w:cs="Calibri"/>
                <w:b/>
                <w:bCs/>
                <w:sz w:val="22"/>
                <w:szCs w:val="22"/>
              </w:rPr>
              <w:t>Intended Outcome Categories</w:t>
            </w:r>
          </w:p>
        </w:tc>
        <w:tc>
          <w:tcPr>
            <w:tcW w:w="705" w:type="dxa"/>
            <w:tcBorders>
              <w:top w:val="single" w:sz="4" w:space="0" w:color="000000"/>
              <w:left w:val="nil"/>
              <w:bottom w:val="single" w:sz="4" w:space="0" w:color="999999"/>
              <w:right w:val="nil"/>
            </w:tcBorders>
            <w:shd w:val="clear" w:color="auto" w:fill="auto"/>
            <w:tcMar>
              <w:top w:w="100" w:type="dxa"/>
              <w:left w:w="100" w:type="dxa"/>
              <w:bottom w:w="100" w:type="dxa"/>
              <w:right w:w="100" w:type="dxa"/>
            </w:tcMar>
          </w:tcPr>
          <w:p w14:paraId="3BEE65DB" w14:textId="77777777" w:rsidR="00D11CE4" w:rsidRPr="005609D4" w:rsidRDefault="00D11CE4" w:rsidP="00CF11F0">
            <w:pPr>
              <w:widowControl w:val="0"/>
              <w:pBdr>
                <w:top w:val="nil"/>
                <w:left w:val="nil"/>
                <w:bottom w:val="nil"/>
                <w:right w:val="nil"/>
                <w:between w:val="nil"/>
              </w:pBdr>
              <w:jc w:val="center"/>
              <w:rPr>
                <w:rFonts w:ascii="Calibri" w:hAnsi="Calibri" w:cs="Calibri"/>
                <w:b/>
                <w:bCs/>
                <w:sz w:val="22"/>
                <w:szCs w:val="22"/>
              </w:rPr>
            </w:pPr>
            <w:r w:rsidRPr="005609D4">
              <w:rPr>
                <w:rFonts w:ascii="Calibri" w:hAnsi="Calibri" w:cs="Calibri"/>
                <w:b/>
                <w:bCs/>
                <w:sz w:val="22"/>
                <w:szCs w:val="22"/>
              </w:rPr>
              <w:t>2020</w:t>
            </w:r>
          </w:p>
        </w:tc>
        <w:tc>
          <w:tcPr>
            <w:tcW w:w="73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14:paraId="43C6664A" w14:textId="77777777" w:rsidR="00D11CE4" w:rsidRPr="005609D4" w:rsidRDefault="00D11CE4" w:rsidP="00CF11F0">
            <w:pPr>
              <w:widowControl w:val="0"/>
              <w:pBdr>
                <w:top w:val="nil"/>
                <w:left w:val="nil"/>
                <w:bottom w:val="nil"/>
                <w:right w:val="nil"/>
                <w:between w:val="nil"/>
              </w:pBdr>
              <w:jc w:val="center"/>
              <w:rPr>
                <w:rFonts w:ascii="Calibri" w:hAnsi="Calibri" w:cs="Calibri"/>
                <w:b/>
                <w:bCs/>
                <w:sz w:val="22"/>
                <w:szCs w:val="22"/>
              </w:rPr>
            </w:pPr>
            <w:r w:rsidRPr="005609D4">
              <w:rPr>
                <w:rFonts w:ascii="Calibri" w:hAnsi="Calibri" w:cs="Calibri"/>
                <w:b/>
                <w:bCs/>
                <w:sz w:val="22"/>
                <w:szCs w:val="22"/>
              </w:rPr>
              <w:t>2025</w:t>
            </w:r>
          </w:p>
        </w:tc>
        <w:tc>
          <w:tcPr>
            <w:tcW w:w="351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14:paraId="2D4EF5A8" w14:textId="77777777" w:rsidR="00D11CE4" w:rsidRPr="005609D4" w:rsidRDefault="00D11CE4" w:rsidP="00CF11F0">
            <w:pPr>
              <w:widowControl w:val="0"/>
              <w:pBdr>
                <w:top w:val="nil"/>
                <w:left w:val="nil"/>
                <w:bottom w:val="nil"/>
                <w:right w:val="nil"/>
                <w:between w:val="nil"/>
              </w:pBdr>
              <w:rPr>
                <w:rFonts w:ascii="Calibri" w:hAnsi="Calibri" w:cs="Calibri"/>
                <w:b/>
                <w:bCs/>
                <w:sz w:val="22"/>
                <w:szCs w:val="22"/>
              </w:rPr>
            </w:pPr>
            <w:r w:rsidRPr="005609D4">
              <w:rPr>
                <w:rFonts w:ascii="Calibri" w:hAnsi="Calibri" w:cs="Calibri"/>
                <w:b/>
                <w:bCs/>
                <w:sz w:val="22"/>
                <w:szCs w:val="22"/>
              </w:rPr>
              <w:t xml:space="preserve">Change is (all </w:t>
            </w:r>
            <w:proofErr w:type="spellStart"/>
            <w:r w:rsidRPr="005609D4">
              <w:rPr>
                <w:rFonts w:ascii="Calibri" w:hAnsi="Calibri" w:cs="Calibri"/>
                <w:b/>
                <w:bCs/>
                <w:sz w:val="22"/>
                <w:szCs w:val="22"/>
              </w:rPr>
              <w:t>ps</w:t>
            </w:r>
            <w:proofErr w:type="spellEnd"/>
            <w:r w:rsidRPr="005609D4">
              <w:rPr>
                <w:rFonts w:ascii="Calibri" w:hAnsi="Calibri" w:cs="Calibri"/>
                <w:b/>
                <w:bCs/>
                <w:sz w:val="22"/>
                <w:szCs w:val="22"/>
              </w:rPr>
              <w:t xml:space="preserve"> &lt;.01) </w:t>
            </w:r>
          </w:p>
        </w:tc>
      </w:tr>
      <w:tr w:rsidR="00D11CE4" w:rsidRPr="005609D4" w14:paraId="5CD4255D" w14:textId="77777777" w:rsidTr="00CF11F0">
        <w:tc>
          <w:tcPr>
            <w:tcW w:w="4455" w:type="dxa"/>
            <w:tcBorders>
              <w:top w:val="single" w:sz="4" w:space="0" w:color="000000"/>
              <w:left w:val="nil"/>
              <w:bottom w:val="nil"/>
              <w:right w:val="nil"/>
            </w:tcBorders>
            <w:shd w:val="clear" w:color="auto" w:fill="auto"/>
            <w:tcMar>
              <w:top w:w="100" w:type="dxa"/>
              <w:left w:w="100" w:type="dxa"/>
              <w:bottom w:w="100" w:type="dxa"/>
              <w:right w:w="100" w:type="dxa"/>
            </w:tcMar>
          </w:tcPr>
          <w:p w14:paraId="44A8145C" w14:textId="77777777" w:rsidR="00D11CE4" w:rsidRPr="005609D4" w:rsidRDefault="00D11CE4" w:rsidP="00CF11F0">
            <w:pPr>
              <w:rPr>
                <w:rFonts w:ascii="Calibri" w:hAnsi="Calibri" w:cs="Calibri"/>
                <w:sz w:val="22"/>
                <w:szCs w:val="22"/>
              </w:rPr>
            </w:pPr>
            <w:r w:rsidRPr="005609D4">
              <w:rPr>
                <w:rFonts w:ascii="Calibri" w:hAnsi="Calibri" w:cs="Calibri"/>
                <w:sz w:val="22"/>
                <w:szCs w:val="22"/>
              </w:rPr>
              <w:t>1.  Students’ Career Preparedness</w:t>
            </w:r>
          </w:p>
        </w:tc>
        <w:tc>
          <w:tcPr>
            <w:tcW w:w="705" w:type="dxa"/>
            <w:tcBorders>
              <w:top w:val="single" w:sz="4" w:space="0" w:color="999999"/>
              <w:left w:val="nil"/>
              <w:bottom w:val="nil"/>
              <w:right w:val="nil"/>
            </w:tcBorders>
            <w:tcMar>
              <w:top w:w="100" w:type="dxa"/>
              <w:left w:w="100" w:type="dxa"/>
              <w:bottom w:w="100" w:type="dxa"/>
              <w:right w:w="100" w:type="dxa"/>
            </w:tcMar>
          </w:tcPr>
          <w:p w14:paraId="7F21D4AD"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18%</w:t>
            </w:r>
          </w:p>
        </w:tc>
        <w:tc>
          <w:tcPr>
            <w:tcW w:w="735" w:type="dxa"/>
            <w:tcBorders>
              <w:top w:val="single" w:sz="4" w:space="0" w:color="000000"/>
              <w:left w:val="nil"/>
              <w:bottom w:val="nil"/>
              <w:right w:val="nil"/>
            </w:tcBorders>
            <w:tcMar>
              <w:top w:w="100" w:type="dxa"/>
              <w:left w:w="100" w:type="dxa"/>
              <w:bottom w:w="100" w:type="dxa"/>
              <w:right w:w="100" w:type="dxa"/>
            </w:tcMar>
          </w:tcPr>
          <w:p w14:paraId="4FE8E715"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29%</w:t>
            </w:r>
          </w:p>
        </w:tc>
        <w:tc>
          <w:tcPr>
            <w:tcW w:w="3510" w:type="dxa"/>
            <w:tcBorders>
              <w:top w:val="single" w:sz="4" w:space="0" w:color="000000"/>
              <w:left w:val="nil"/>
              <w:bottom w:val="nil"/>
              <w:right w:val="nil"/>
            </w:tcBorders>
            <w:shd w:val="clear" w:color="auto" w:fill="auto"/>
            <w:tcMar>
              <w:top w:w="100" w:type="dxa"/>
              <w:left w:w="100" w:type="dxa"/>
              <w:bottom w:w="100" w:type="dxa"/>
              <w:right w:w="100" w:type="dxa"/>
            </w:tcMar>
          </w:tcPr>
          <w:p w14:paraId="34F602BF"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Increased sig.  (z = -3.60, p &lt;.001)</w:t>
            </w:r>
          </w:p>
        </w:tc>
      </w:tr>
      <w:tr w:rsidR="00D11CE4" w:rsidRPr="005609D4" w14:paraId="5CF3A028"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51AA41AB"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2.  Students’ Skill Acquisition</w:t>
            </w:r>
          </w:p>
        </w:tc>
        <w:tc>
          <w:tcPr>
            <w:tcW w:w="705" w:type="dxa"/>
            <w:tcBorders>
              <w:top w:val="nil"/>
              <w:left w:val="nil"/>
              <w:bottom w:val="nil"/>
              <w:right w:val="nil"/>
            </w:tcBorders>
            <w:shd w:val="clear" w:color="auto" w:fill="auto"/>
            <w:tcMar>
              <w:top w:w="100" w:type="dxa"/>
              <w:left w:w="100" w:type="dxa"/>
              <w:bottom w:w="100" w:type="dxa"/>
              <w:right w:w="100" w:type="dxa"/>
            </w:tcMar>
          </w:tcPr>
          <w:p w14:paraId="0BA611A5"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18%</w:t>
            </w:r>
          </w:p>
        </w:tc>
        <w:tc>
          <w:tcPr>
            <w:tcW w:w="735" w:type="dxa"/>
            <w:tcBorders>
              <w:top w:val="nil"/>
              <w:left w:val="nil"/>
              <w:bottom w:val="nil"/>
              <w:right w:val="nil"/>
            </w:tcBorders>
            <w:shd w:val="clear" w:color="auto" w:fill="auto"/>
            <w:tcMar>
              <w:top w:w="100" w:type="dxa"/>
              <w:left w:w="100" w:type="dxa"/>
              <w:bottom w:w="100" w:type="dxa"/>
              <w:right w:w="100" w:type="dxa"/>
            </w:tcMar>
          </w:tcPr>
          <w:p w14:paraId="7CFF9638"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20%</w:t>
            </w:r>
          </w:p>
        </w:tc>
        <w:tc>
          <w:tcPr>
            <w:tcW w:w="3510" w:type="dxa"/>
            <w:tcBorders>
              <w:top w:val="nil"/>
              <w:left w:val="nil"/>
              <w:bottom w:val="nil"/>
              <w:right w:val="nil"/>
            </w:tcBorders>
            <w:shd w:val="clear" w:color="auto" w:fill="auto"/>
            <w:tcMar>
              <w:top w:w="100" w:type="dxa"/>
              <w:left w:w="100" w:type="dxa"/>
              <w:bottom w:w="100" w:type="dxa"/>
              <w:right w:w="100" w:type="dxa"/>
            </w:tcMar>
          </w:tcPr>
          <w:p w14:paraId="7432D3C8"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Not sig.  (z = -1.12, p = .262)</w:t>
            </w:r>
          </w:p>
        </w:tc>
      </w:tr>
      <w:tr w:rsidR="00D11CE4" w:rsidRPr="005609D4" w14:paraId="0011468C"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09540C28" w14:textId="77777777" w:rsidR="00D11CE4" w:rsidRPr="005609D4" w:rsidRDefault="00D11CE4" w:rsidP="00CF11F0">
            <w:pPr>
              <w:widowControl w:val="0"/>
              <w:pBdr>
                <w:top w:val="nil"/>
                <w:left w:val="nil"/>
                <w:bottom w:val="nil"/>
                <w:right w:val="nil"/>
                <w:between w:val="nil"/>
              </w:pBdr>
              <w:rPr>
                <w:rFonts w:ascii="Calibri" w:hAnsi="Calibri" w:cs="Calibri"/>
                <w:i/>
                <w:iCs/>
                <w:sz w:val="22"/>
                <w:szCs w:val="22"/>
              </w:rPr>
            </w:pPr>
            <w:r w:rsidRPr="005609D4">
              <w:rPr>
                <w:rFonts w:ascii="Calibri" w:hAnsi="Calibri" w:cs="Calibri"/>
                <w:i/>
                <w:iCs/>
                <w:sz w:val="22"/>
                <w:szCs w:val="22"/>
              </w:rPr>
              <w:t xml:space="preserve">       2.1 Acquire technical &amp; non-tech.  skills</w:t>
            </w:r>
          </w:p>
        </w:tc>
        <w:tc>
          <w:tcPr>
            <w:tcW w:w="705" w:type="dxa"/>
            <w:tcBorders>
              <w:top w:val="nil"/>
              <w:left w:val="nil"/>
              <w:bottom w:val="nil"/>
              <w:right w:val="nil"/>
            </w:tcBorders>
            <w:shd w:val="clear" w:color="auto" w:fill="auto"/>
            <w:tcMar>
              <w:top w:w="100" w:type="dxa"/>
              <w:left w:w="100" w:type="dxa"/>
              <w:bottom w:w="100" w:type="dxa"/>
              <w:right w:w="100" w:type="dxa"/>
            </w:tcMar>
          </w:tcPr>
          <w:p w14:paraId="7863040A" w14:textId="77777777" w:rsidR="00D11CE4" w:rsidRPr="005609D4" w:rsidRDefault="00D11CE4" w:rsidP="00CF11F0">
            <w:pPr>
              <w:widowControl w:val="0"/>
              <w:pBdr>
                <w:top w:val="nil"/>
                <w:left w:val="nil"/>
                <w:bottom w:val="nil"/>
                <w:right w:val="nil"/>
                <w:between w:val="nil"/>
              </w:pBdr>
              <w:jc w:val="right"/>
              <w:rPr>
                <w:rFonts w:ascii="Calibri" w:hAnsi="Calibri" w:cs="Calibri"/>
                <w:sz w:val="22"/>
                <w:szCs w:val="22"/>
              </w:rPr>
            </w:pPr>
            <w:r w:rsidRPr="005609D4">
              <w:rPr>
                <w:rFonts w:ascii="Calibri" w:hAnsi="Calibri" w:cs="Calibri"/>
                <w:sz w:val="22"/>
                <w:szCs w:val="22"/>
              </w:rPr>
              <w:t>7%</w:t>
            </w:r>
          </w:p>
        </w:tc>
        <w:tc>
          <w:tcPr>
            <w:tcW w:w="735" w:type="dxa"/>
            <w:tcBorders>
              <w:top w:val="nil"/>
              <w:left w:val="nil"/>
              <w:bottom w:val="nil"/>
              <w:right w:val="nil"/>
            </w:tcBorders>
            <w:shd w:val="clear" w:color="auto" w:fill="auto"/>
            <w:tcMar>
              <w:top w:w="100" w:type="dxa"/>
              <w:left w:w="100" w:type="dxa"/>
              <w:bottom w:w="100" w:type="dxa"/>
              <w:right w:w="100" w:type="dxa"/>
            </w:tcMar>
          </w:tcPr>
          <w:p w14:paraId="099EE59A" w14:textId="77777777" w:rsidR="00D11CE4" w:rsidRPr="005609D4" w:rsidRDefault="00D11CE4" w:rsidP="00CF11F0">
            <w:pPr>
              <w:widowControl w:val="0"/>
              <w:pBdr>
                <w:top w:val="nil"/>
                <w:left w:val="nil"/>
                <w:bottom w:val="nil"/>
                <w:right w:val="nil"/>
                <w:between w:val="nil"/>
              </w:pBdr>
              <w:jc w:val="right"/>
              <w:rPr>
                <w:rFonts w:ascii="Calibri" w:hAnsi="Calibri" w:cs="Calibri"/>
                <w:sz w:val="22"/>
                <w:szCs w:val="22"/>
              </w:rPr>
            </w:pPr>
            <w:r w:rsidRPr="005609D4">
              <w:rPr>
                <w:rFonts w:ascii="Calibri" w:hAnsi="Calibri" w:cs="Calibri"/>
                <w:sz w:val="22"/>
                <w:szCs w:val="22"/>
              </w:rPr>
              <w:t>13%</w:t>
            </w:r>
          </w:p>
        </w:tc>
        <w:tc>
          <w:tcPr>
            <w:tcW w:w="3510" w:type="dxa"/>
            <w:tcBorders>
              <w:top w:val="nil"/>
              <w:left w:val="nil"/>
              <w:bottom w:val="nil"/>
              <w:right w:val="nil"/>
            </w:tcBorders>
            <w:shd w:val="clear" w:color="auto" w:fill="auto"/>
            <w:tcMar>
              <w:top w:w="100" w:type="dxa"/>
              <w:left w:w="100" w:type="dxa"/>
              <w:bottom w:w="100" w:type="dxa"/>
              <w:right w:w="100" w:type="dxa"/>
            </w:tcMar>
          </w:tcPr>
          <w:p w14:paraId="2FDB0310"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Increased sig.  (</w:t>
            </w:r>
            <w:proofErr w:type="gramStart"/>
            <w:r w:rsidRPr="005609D4">
              <w:rPr>
                <w:rFonts w:ascii="Calibri" w:hAnsi="Calibri" w:cs="Calibri"/>
                <w:sz w:val="22"/>
                <w:szCs w:val="22"/>
              </w:rPr>
              <w:t>z  =</w:t>
            </w:r>
            <w:proofErr w:type="gramEnd"/>
            <w:r w:rsidRPr="005609D4">
              <w:rPr>
                <w:rFonts w:ascii="Calibri" w:hAnsi="Calibri" w:cs="Calibri"/>
                <w:sz w:val="22"/>
                <w:szCs w:val="22"/>
              </w:rPr>
              <w:t xml:space="preserve"> -3.06, p = .002)</w:t>
            </w:r>
          </w:p>
        </w:tc>
      </w:tr>
      <w:tr w:rsidR="00D11CE4" w:rsidRPr="005609D4" w14:paraId="0DBDC8B3"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31CC1225" w14:textId="77777777" w:rsidR="00D11CE4" w:rsidRPr="005609D4" w:rsidRDefault="00D11CE4" w:rsidP="00CF11F0">
            <w:pPr>
              <w:widowControl w:val="0"/>
              <w:pBdr>
                <w:top w:val="nil"/>
                <w:left w:val="nil"/>
                <w:bottom w:val="nil"/>
                <w:right w:val="nil"/>
                <w:between w:val="nil"/>
              </w:pBdr>
              <w:rPr>
                <w:rFonts w:ascii="Calibri" w:hAnsi="Calibri" w:cs="Calibri"/>
                <w:i/>
                <w:iCs/>
                <w:sz w:val="22"/>
                <w:szCs w:val="22"/>
              </w:rPr>
            </w:pPr>
            <w:r w:rsidRPr="005609D4">
              <w:rPr>
                <w:rFonts w:ascii="Calibri" w:hAnsi="Calibri" w:cs="Calibri"/>
                <w:i/>
                <w:iCs/>
                <w:sz w:val="22"/>
                <w:szCs w:val="22"/>
              </w:rPr>
              <w:t xml:space="preserve">       2.2.  Acquire critical thinking skills</w:t>
            </w:r>
          </w:p>
        </w:tc>
        <w:tc>
          <w:tcPr>
            <w:tcW w:w="705" w:type="dxa"/>
            <w:tcBorders>
              <w:top w:val="nil"/>
              <w:left w:val="nil"/>
              <w:bottom w:val="nil"/>
              <w:right w:val="nil"/>
            </w:tcBorders>
            <w:shd w:val="clear" w:color="auto" w:fill="auto"/>
            <w:tcMar>
              <w:top w:w="100" w:type="dxa"/>
              <w:left w:w="100" w:type="dxa"/>
              <w:bottom w:w="100" w:type="dxa"/>
              <w:right w:w="100" w:type="dxa"/>
            </w:tcMar>
          </w:tcPr>
          <w:p w14:paraId="7CE0F280" w14:textId="77777777" w:rsidR="00D11CE4" w:rsidRPr="005609D4" w:rsidRDefault="00D11CE4" w:rsidP="00CF11F0">
            <w:pPr>
              <w:widowControl w:val="0"/>
              <w:pBdr>
                <w:top w:val="nil"/>
                <w:left w:val="nil"/>
                <w:bottom w:val="nil"/>
                <w:right w:val="nil"/>
                <w:between w:val="nil"/>
              </w:pBdr>
              <w:jc w:val="right"/>
              <w:rPr>
                <w:rFonts w:ascii="Calibri" w:hAnsi="Calibri" w:cs="Calibri"/>
                <w:sz w:val="22"/>
                <w:szCs w:val="22"/>
              </w:rPr>
            </w:pPr>
            <w:r w:rsidRPr="005609D4">
              <w:rPr>
                <w:rFonts w:ascii="Calibri" w:hAnsi="Calibri" w:cs="Calibri"/>
                <w:sz w:val="22"/>
                <w:szCs w:val="22"/>
              </w:rPr>
              <w:t xml:space="preserve">4%    </w:t>
            </w:r>
          </w:p>
        </w:tc>
        <w:tc>
          <w:tcPr>
            <w:tcW w:w="735" w:type="dxa"/>
            <w:tcBorders>
              <w:top w:val="nil"/>
              <w:left w:val="nil"/>
              <w:bottom w:val="nil"/>
              <w:right w:val="nil"/>
            </w:tcBorders>
            <w:shd w:val="clear" w:color="auto" w:fill="auto"/>
            <w:tcMar>
              <w:top w:w="100" w:type="dxa"/>
              <w:left w:w="100" w:type="dxa"/>
              <w:bottom w:w="100" w:type="dxa"/>
              <w:right w:w="100" w:type="dxa"/>
            </w:tcMar>
          </w:tcPr>
          <w:p w14:paraId="5CC416E7" w14:textId="77777777" w:rsidR="00D11CE4" w:rsidRPr="005609D4" w:rsidRDefault="00D11CE4" w:rsidP="00CF11F0">
            <w:pPr>
              <w:widowControl w:val="0"/>
              <w:pBdr>
                <w:top w:val="nil"/>
                <w:left w:val="nil"/>
                <w:bottom w:val="nil"/>
                <w:right w:val="nil"/>
                <w:between w:val="nil"/>
              </w:pBdr>
              <w:jc w:val="right"/>
              <w:rPr>
                <w:rFonts w:ascii="Calibri" w:hAnsi="Calibri" w:cs="Calibri"/>
                <w:sz w:val="22"/>
                <w:szCs w:val="22"/>
              </w:rPr>
            </w:pPr>
            <w:r w:rsidRPr="005609D4">
              <w:rPr>
                <w:rFonts w:ascii="Calibri" w:hAnsi="Calibri" w:cs="Calibri"/>
                <w:sz w:val="22"/>
                <w:szCs w:val="22"/>
              </w:rPr>
              <w:t>1%</w:t>
            </w:r>
          </w:p>
        </w:tc>
        <w:tc>
          <w:tcPr>
            <w:tcW w:w="3510" w:type="dxa"/>
            <w:tcBorders>
              <w:top w:val="nil"/>
              <w:left w:val="nil"/>
              <w:bottom w:val="nil"/>
              <w:right w:val="nil"/>
            </w:tcBorders>
            <w:shd w:val="clear" w:color="auto" w:fill="auto"/>
            <w:tcMar>
              <w:top w:w="100" w:type="dxa"/>
              <w:left w:w="100" w:type="dxa"/>
              <w:bottom w:w="100" w:type="dxa"/>
              <w:right w:w="100" w:type="dxa"/>
            </w:tcMar>
          </w:tcPr>
          <w:p w14:paraId="69AF863D"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Decreased sig.  (z = 2.29, p = .022)</w:t>
            </w:r>
          </w:p>
        </w:tc>
      </w:tr>
      <w:tr w:rsidR="00D11CE4" w:rsidRPr="005609D4" w14:paraId="19452A1F"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44C93C24" w14:textId="77777777" w:rsidR="00D11CE4" w:rsidRPr="005609D4" w:rsidRDefault="00D11CE4" w:rsidP="00CF11F0">
            <w:pPr>
              <w:rPr>
                <w:rFonts w:ascii="Calibri" w:hAnsi="Calibri" w:cs="Calibri"/>
                <w:sz w:val="22"/>
                <w:szCs w:val="22"/>
              </w:rPr>
            </w:pPr>
            <w:r w:rsidRPr="005609D4">
              <w:rPr>
                <w:rFonts w:ascii="Calibri" w:hAnsi="Calibri" w:cs="Calibri"/>
                <w:sz w:val="22"/>
                <w:szCs w:val="22"/>
              </w:rPr>
              <w:t>3.  Students’ Theory-Practice Integration</w:t>
            </w:r>
          </w:p>
        </w:tc>
        <w:tc>
          <w:tcPr>
            <w:tcW w:w="705" w:type="dxa"/>
            <w:tcBorders>
              <w:top w:val="nil"/>
              <w:left w:val="nil"/>
              <w:bottom w:val="nil"/>
              <w:right w:val="nil"/>
            </w:tcBorders>
            <w:shd w:val="clear" w:color="auto" w:fill="auto"/>
            <w:tcMar>
              <w:top w:w="100" w:type="dxa"/>
              <w:left w:w="100" w:type="dxa"/>
              <w:bottom w:w="100" w:type="dxa"/>
              <w:right w:w="100" w:type="dxa"/>
            </w:tcMar>
          </w:tcPr>
          <w:p w14:paraId="771504FF"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9%</w:t>
            </w:r>
          </w:p>
        </w:tc>
        <w:tc>
          <w:tcPr>
            <w:tcW w:w="735" w:type="dxa"/>
            <w:tcBorders>
              <w:top w:val="nil"/>
              <w:left w:val="nil"/>
              <w:bottom w:val="nil"/>
              <w:right w:val="nil"/>
            </w:tcBorders>
            <w:shd w:val="clear" w:color="auto" w:fill="auto"/>
            <w:tcMar>
              <w:top w:w="100" w:type="dxa"/>
              <w:left w:w="100" w:type="dxa"/>
              <w:bottom w:w="100" w:type="dxa"/>
              <w:right w:w="100" w:type="dxa"/>
            </w:tcMar>
          </w:tcPr>
          <w:p w14:paraId="7C6D9542"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22%</w:t>
            </w:r>
          </w:p>
        </w:tc>
        <w:tc>
          <w:tcPr>
            <w:tcW w:w="3510" w:type="dxa"/>
            <w:tcBorders>
              <w:top w:val="nil"/>
              <w:left w:val="nil"/>
              <w:bottom w:val="nil"/>
              <w:right w:val="nil"/>
            </w:tcBorders>
            <w:shd w:val="clear" w:color="auto" w:fill="auto"/>
            <w:tcMar>
              <w:top w:w="100" w:type="dxa"/>
              <w:left w:w="100" w:type="dxa"/>
              <w:bottom w:w="100" w:type="dxa"/>
              <w:right w:w="100" w:type="dxa"/>
            </w:tcMar>
          </w:tcPr>
          <w:p w14:paraId="1303F11A"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Increased sig.  (z = -4.71, p &lt;.001)</w:t>
            </w:r>
          </w:p>
        </w:tc>
      </w:tr>
      <w:tr w:rsidR="00D11CE4" w:rsidRPr="005609D4" w14:paraId="13000341"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0D6D992B" w14:textId="77777777" w:rsidR="00D11CE4" w:rsidRPr="005609D4" w:rsidRDefault="00D11CE4" w:rsidP="00CF11F0">
            <w:pPr>
              <w:rPr>
                <w:rFonts w:ascii="Calibri" w:hAnsi="Calibri" w:cs="Calibri"/>
                <w:i/>
                <w:iCs/>
                <w:sz w:val="22"/>
                <w:szCs w:val="22"/>
              </w:rPr>
            </w:pPr>
            <w:r w:rsidRPr="005609D4">
              <w:rPr>
                <w:rFonts w:ascii="Calibri" w:hAnsi="Calibri" w:cs="Calibri"/>
                <w:sz w:val="22"/>
                <w:szCs w:val="22"/>
              </w:rPr>
              <w:t xml:space="preserve">     </w:t>
            </w:r>
            <w:r w:rsidRPr="005609D4">
              <w:rPr>
                <w:rFonts w:ascii="Calibri" w:hAnsi="Calibri" w:cs="Calibri"/>
                <w:i/>
                <w:iCs/>
                <w:sz w:val="22"/>
                <w:szCs w:val="22"/>
              </w:rPr>
              <w:t xml:space="preserve">  3.2.  Apply theory to practice</w:t>
            </w:r>
          </w:p>
        </w:tc>
        <w:tc>
          <w:tcPr>
            <w:tcW w:w="705" w:type="dxa"/>
            <w:tcBorders>
              <w:top w:val="nil"/>
              <w:left w:val="nil"/>
              <w:bottom w:val="nil"/>
              <w:right w:val="nil"/>
            </w:tcBorders>
            <w:shd w:val="clear" w:color="auto" w:fill="auto"/>
            <w:tcMar>
              <w:top w:w="100" w:type="dxa"/>
              <w:left w:w="100" w:type="dxa"/>
              <w:bottom w:w="100" w:type="dxa"/>
              <w:right w:w="100" w:type="dxa"/>
            </w:tcMar>
          </w:tcPr>
          <w:p w14:paraId="4099B90C" w14:textId="77777777" w:rsidR="00D11CE4" w:rsidRPr="005609D4" w:rsidRDefault="00D11CE4" w:rsidP="00CF11F0">
            <w:pPr>
              <w:widowControl w:val="0"/>
              <w:pBdr>
                <w:top w:val="nil"/>
                <w:left w:val="nil"/>
                <w:bottom w:val="nil"/>
                <w:right w:val="nil"/>
                <w:between w:val="nil"/>
              </w:pBdr>
              <w:jc w:val="right"/>
              <w:rPr>
                <w:rFonts w:ascii="Calibri" w:hAnsi="Calibri" w:cs="Calibri"/>
                <w:sz w:val="22"/>
                <w:szCs w:val="22"/>
              </w:rPr>
            </w:pPr>
            <w:r w:rsidRPr="005609D4">
              <w:rPr>
                <w:rFonts w:ascii="Calibri" w:hAnsi="Calibri" w:cs="Calibri"/>
                <w:sz w:val="22"/>
                <w:szCs w:val="22"/>
              </w:rPr>
              <w:t>7%</w:t>
            </w:r>
          </w:p>
        </w:tc>
        <w:tc>
          <w:tcPr>
            <w:tcW w:w="735" w:type="dxa"/>
            <w:tcBorders>
              <w:top w:val="nil"/>
              <w:left w:val="nil"/>
              <w:bottom w:val="nil"/>
              <w:right w:val="nil"/>
            </w:tcBorders>
            <w:shd w:val="clear" w:color="auto" w:fill="auto"/>
            <w:tcMar>
              <w:top w:w="100" w:type="dxa"/>
              <w:left w:w="100" w:type="dxa"/>
              <w:bottom w:w="100" w:type="dxa"/>
              <w:right w:w="100" w:type="dxa"/>
            </w:tcMar>
          </w:tcPr>
          <w:p w14:paraId="645CE490" w14:textId="77777777" w:rsidR="00D11CE4" w:rsidRPr="005609D4" w:rsidRDefault="00D11CE4" w:rsidP="00CF11F0">
            <w:pPr>
              <w:widowControl w:val="0"/>
              <w:pBdr>
                <w:top w:val="nil"/>
                <w:left w:val="nil"/>
                <w:bottom w:val="nil"/>
                <w:right w:val="nil"/>
                <w:between w:val="nil"/>
              </w:pBdr>
              <w:jc w:val="right"/>
              <w:rPr>
                <w:rFonts w:ascii="Calibri" w:hAnsi="Calibri" w:cs="Calibri"/>
                <w:sz w:val="22"/>
                <w:szCs w:val="22"/>
              </w:rPr>
            </w:pPr>
            <w:r w:rsidRPr="005609D4">
              <w:rPr>
                <w:rFonts w:ascii="Calibri" w:hAnsi="Calibri" w:cs="Calibri"/>
                <w:sz w:val="22"/>
                <w:szCs w:val="22"/>
              </w:rPr>
              <w:t>18%</w:t>
            </w:r>
          </w:p>
        </w:tc>
        <w:tc>
          <w:tcPr>
            <w:tcW w:w="3510" w:type="dxa"/>
            <w:tcBorders>
              <w:top w:val="nil"/>
              <w:left w:val="nil"/>
              <w:bottom w:val="nil"/>
              <w:right w:val="nil"/>
            </w:tcBorders>
            <w:shd w:val="clear" w:color="auto" w:fill="auto"/>
            <w:tcMar>
              <w:top w:w="100" w:type="dxa"/>
              <w:left w:w="100" w:type="dxa"/>
              <w:bottom w:w="100" w:type="dxa"/>
              <w:right w:w="100" w:type="dxa"/>
            </w:tcMar>
          </w:tcPr>
          <w:p w14:paraId="5AB95508"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Increased sig.  (z = -4.54, p &lt; .001)</w:t>
            </w:r>
          </w:p>
        </w:tc>
      </w:tr>
      <w:tr w:rsidR="00D11CE4" w:rsidRPr="005609D4" w14:paraId="2BCCCD47" w14:textId="77777777" w:rsidTr="00CF11F0">
        <w:trPr>
          <w:trHeight w:val="339"/>
        </w:trPr>
        <w:tc>
          <w:tcPr>
            <w:tcW w:w="4455" w:type="dxa"/>
            <w:tcBorders>
              <w:top w:val="nil"/>
              <w:left w:val="nil"/>
              <w:bottom w:val="nil"/>
              <w:right w:val="nil"/>
            </w:tcBorders>
            <w:shd w:val="clear" w:color="auto" w:fill="auto"/>
            <w:tcMar>
              <w:top w:w="100" w:type="dxa"/>
              <w:left w:w="100" w:type="dxa"/>
              <w:bottom w:w="100" w:type="dxa"/>
              <w:right w:w="100" w:type="dxa"/>
            </w:tcMar>
          </w:tcPr>
          <w:p w14:paraId="028984F2" w14:textId="77777777" w:rsidR="00D11CE4" w:rsidRPr="005609D4" w:rsidRDefault="00D11CE4" w:rsidP="00CF11F0">
            <w:pPr>
              <w:rPr>
                <w:rFonts w:ascii="Calibri" w:hAnsi="Calibri" w:cs="Calibri"/>
                <w:sz w:val="22"/>
                <w:szCs w:val="22"/>
              </w:rPr>
            </w:pPr>
            <w:r w:rsidRPr="005609D4">
              <w:rPr>
                <w:rFonts w:ascii="Calibri" w:hAnsi="Calibri" w:cs="Calibri"/>
                <w:sz w:val="22"/>
                <w:szCs w:val="22"/>
              </w:rPr>
              <w:t>4.  Conceptual expertise &amp; learning</w:t>
            </w:r>
          </w:p>
        </w:tc>
        <w:tc>
          <w:tcPr>
            <w:tcW w:w="705" w:type="dxa"/>
            <w:tcBorders>
              <w:top w:val="nil"/>
              <w:left w:val="nil"/>
              <w:bottom w:val="nil"/>
              <w:right w:val="nil"/>
            </w:tcBorders>
            <w:shd w:val="clear" w:color="auto" w:fill="auto"/>
            <w:tcMar>
              <w:top w:w="100" w:type="dxa"/>
              <w:left w:w="100" w:type="dxa"/>
              <w:bottom w:w="100" w:type="dxa"/>
              <w:right w:w="100" w:type="dxa"/>
            </w:tcMar>
          </w:tcPr>
          <w:p w14:paraId="70BDF175"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10%</w:t>
            </w:r>
          </w:p>
        </w:tc>
        <w:tc>
          <w:tcPr>
            <w:tcW w:w="735" w:type="dxa"/>
            <w:tcBorders>
              <w:top w:val="nil"/>
              <w:left w:val="nil"/>
              <w:bottom w:val="nil"/>
              <w:right w:val="nil"/>
            </w:tcBorders>
            <w:shd w:val="clear" w:color="auto" w:fill="auto"/>
            <w:tcMar>
              <w:top w:w="100" w:type="dxa"/>
              <w:left w:w="100" w:type="dxa"/>
              <w:bottom w:w="100" w:type="dxa"/>
              <w:right w:w="100" w:type="dxa"/>
            </w:tcMar>
          </w:tcPr>
          <w:p w14:paraId="41E50287"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3%</w:t>
            </w:r>
          </w:p>
        </w:tc>
        <w:tc>
          <w:tcPr>
            <w:tcW w:w="3510" w:type="dxa"/>
            <w:tcBorders>
              <w:top w:val="nil"/>
              <w:left w:val="nil"/>
              <w:bottom w:val="nil"/>
              <w:right w:val="nil"/>
            </w:tcBorders>
            <w:shd w:val="clear" w:color="auto" w:fill="auto"/>
            <w:tcMar>
              <w:top w:w="100" w:type="dxa"/>
              <w:left w:w="100" w:type="dxa"/>
              <w:bottom w:w="100" w:type="dxa"/>
              <w:right w:w="100" w:type="dxa"/>
            </w:tcMar>
          </w:tcPr>
          <w:p w14:paraId="099ECA8A"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Decreased sig.  (z = 4.99, p &lt;.001)</w:t>
            </w:r>
          </w:p>
        </w:tc>
      </w:tr>
      <w:tr w:rsidR="00D11CE4" w:rsidRPr="005609D4" w14:paraId="31B30703"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6AEBD8A9"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5.  Confidence, wellbeing, personal growth, lifelong learning</w:t>
            </w:r>
          </w:p>
        </w:tc>
        <w:tc>
          <w:tcPr>
            <w:tcW w:w="705" w:type="dxa"/>
            <w:tcBorders>
              <w:top w:val="nil"/>
              <w:left w:val="nil"/>
              <w:bottom w:val="nil"/>
              <w:right w:val="nil"/>
            </w:tcBorders>
            <w:shd w:val="clear" w:color="auto" w:fill="auto"/>
            <w:tcMar>
              <w:top w:w="100" w:type="dxa"/>
              <w:left w:w="100" w:type="dxa"/>
              <w:bottom w:w="100" w:type="dxa"/>
              <w:right w:w="100" w:type="dxa"/>
            </w:tcMar>
          </w:tcPr>
          <w:p w14:paraId="74E3AA40"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6%</w:t>
            </w:r>
          </w:p>
        </w:tc>
        <w:tc>
          <w:tcPr>
            <w:tcW w:w="735" w:type="dxa"/>
            <w:tcBorders>
              <w:top w:val="nil"/>
              <w:left w:val="nil"/>
              <w:bottom w:val="nil"/>
              <w:right w:val="nil"/>
            </w:tcBorders>
            <w:shd w:val="clear" w:color="auto" w:fill="auto"/>
            <w:tcMar>
              <w:top w:w="100" w:type="dxa"/>
              <w:left w:w="100" w:type="dxa"/>
              <w:bottom w:w="100" w:type="dxa"/>
              <w:right w:w="100" w:type="dxa"/>
            </w:tcMar>
          </w:tcPr>
          <w:p w14:paraId="5D0757F4"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5%</w:t>
            </w:r>
          </w:p>
        </w:tc>
        <w:tc>
          <w:tcPr>
            <w:tcW w:w="3510" w:type="dxa"/>
            <w:tcBorders>
              <w:top w:val="nil"/>
              <w:left w:val="nil"/>
              <w:bottom w:val="nil"/>
              <w:right w:val="nil"/>
            </w:tcBorders>
            <w:shd w:val="clear" w:color="auto" w:fill="auto"/>
            <w:tcMar>
              <w:top w:w="100" w:type="dxa"/>
              <w:left w:w="100" w:type="dxa"/>
              <w:bottom w:w="100" w:type="dxa"/>
              <w:right w:w="100" w:type="dxa"/>
            </w:tcMar>
          </w:tcPr>
          <w:p w14:paraId="7DC60B78"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Not sig.  (z = 1.25, p = .211)</w:t>
            </w:r>
          </w:p>
        </w:tc>
      </w:tr>
      <w:tr w:rsidR="00D11CE4" w:rsidRPr="005609D4" w14:paraId="39423C5A" w14:textId="77777777" w:rsidTr="00CF11F0">
        <w:trPr>
          <w:trHeight w:val="424"/>
        </w:trPr>
        <w:tc>
          <w:tcPr>
            <w:tcW w:w="4455" w:type="dxa"/>
            <w:tcBorders>
              <w:top w:val="nil"/>
              <w:left w:val="nil"/>
              <w:bottom w:val="nil"/>
              <w:right w:val="nil"/>
            </w:tcBorders>
            <w:shd w:val="clear" w:color="auto" w:fill="auto"/>
            <w:tcMar>
              <w:top w:w="100" w:type="dxa"/>
              <w:left w:w="100" w:type="dxa"/>
              <w:bottom w:w="100" w:type="dxa"/>
              <w:right w:w="100" w:type="dxa"/>
            </w:tcMar>
          </w:tcPr>
          <w:p w14:paraId="3C20C0DA"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6.  Literacies (rare in PSIs)</w:t>
            </w:r>
          </w:p>
        </w:tc>
        <w:tc>
          <w:tcPr>
            <w:tcW w:w="705" w:type="dxa"/>
            <w:tcBorders>
              <w:top w:val="nil"/>
              <w:left w:val="nil"/>
              <w:bottom w:val="nil"/>
              <w:right w:val="nil"/>
            </w:tcBorders>
            <w:tcMar>
              <w:top w:w="100" w:type="dxa"/>
              <w:left w:w="100" w:type="dxa"/>
              <w:bottom w:w="100" w:type="dxa"/>
              <w:right w:w="100" w:type="dxa"/>
            </w:tcMar>
          </w:tcPr>
          <w:p w14:paraId="4F933EF7"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none</w:t>
            </w:r>
          </w:p>
        </w:tc>
        <w:tc>
          <w:tcPr>
            <w:tcW w:w="735" w:type="dxa"/>
            <w:tcBorders>
              <w:top w:val="nil"/>
              <w:left w:val="nil"/>
              <w:bottom w:val="nil"/>
              <w:right w:val="nil"/>
            </w:tcBorders>
            <w:tcMar>
              <w:top w:w="100" w:type="dxa"/>
              <w:left w:w="100" w:type="dxa"/>
              <w:bottom w:w="100" w:type="dxa"/>
              <w:right w:w="100" w:type="dxa"/>
            </w:tcMar>
          </w:tcPr>
          <w:p w14:paraId="5EE3666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0.1%</w:t>
            </w:r>
          </w:p>
        </w:tc>
        <w:tc>
          <w:tcPr>
            <w:tcW w:w="3510" w:type="dxa"/>
            <w:tcBorders>
              <w:top w:val="nil"/>
              <w:left w:val="nil"/>
              <w:bottom w:val="nil"/>
              <w:right w:val="nil"/>
            </w:tcBorders>
            <w:shd w:val="clear" w:color="auto" w:fill="auto"/>
            <w:tcMar>
              <w:top w:w="100" w:type="dxa"/>
              <w:left w:w="100" w:type="dxa"/>
              <w:bottom w:w="100" w:type="dxa"/>
              <w:right w:w="100" w:type="dxa"/>
            </w:tcMar>
          </w:tcPr>
          <w:p w14:paraId="54DCE4CC"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Not sig.  (z = -0.43, p = .669)</w:t>
            </w:r>
          </w:p>
        </w:tc>
      </w:tr>
      <w:tr w:rsidR="00D11CE4" w:rsidRPr="005609D4" w14:paraId="1DA51176"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3D122528"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7.  Making a difference, civil engagement, understanding complex social issue</w:t>
            </w:r>
          </w:p>
        </w:tc>
        <w:tc>
          <w:tcPr>
            <w:tcW w:w="705" w:type="dxa"/>
            <w:tcBorders>
              <w:top w:val="nil"/>
              <w:left w:val="nil"/>
              <w:bottom w:val="nil"/>
              <w:right w:val="nil"/>
            </w:tcBorders>
            <w:shd w:val="clear" w:color="auto" w:fill="auto"/>
            <w:tcMar>
              <w:top w:w="100" w:type="dxa"/>
              <w:left w:w="100" w:type="dxa"/>
              <w:bottom w:w="100" w:type="dxa"/>
              <w:right w:w="100" w:type="dxa"/>
            </w:tcMar>
          </w:tcPr>
          <w:p w14:paraId="7C284EE9"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4%</w:t>
            </w:r>
          </w:p>
        </w:tc>
        <w:tc>
          <w:tcPr>
            <w:tcW w:w="735" w:type="dxa"/>
            <w:tcBorders>
              <w:top w:val="nil"/>
              <w:left w:val="nil"/>
              <w:bottom w:val="nil"/>
              <w:right w:val="nil"/>
            </w:tcBorders>
            <w:shd w:val="clear" w:color="auto" w:fill="auto"/>
            <w:tcMar>
              <w:top w:w="100" w:type="dxa"/>
              <w:left w:w="100" w:type="dxa"/>
              <w:bottom w:w="100" w:type="dxa"/>
              <w:right w:w="100" w:type="dxa"/>
            </w:tcMar>
          </w:tcPr>
          <w:p w14:paraId="3168499D"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6%</w:t>
            </w:r>
          </w:p>
        </w:tc>
        <w:tc>
          <w:tcPr>
            <w:tcW w:w="3510" w:type="dxa"/>
            <w:tcBorders>
              <w:top w:val="nil"/>
              <w:left w:val="nil"/>
              <w:bottom w:val="nil"/>
              <w:right w:val="nil"/>
            </w:tcBorders>
            <w:shd w:val="clear" w:color="auto" w:fill="auto"/>
            <w:tcMar>
              <w:top w:w="100" w:type="dxa"/>
              <w:left w:w="100" w:type="dxa"/>
              <w:bottom w:w="100" w:type="dxa"/>
              <w:right w:w="100" w:type="dxa"/>
            </w:tcMar>
          </w:tcPr>
          <w:p w14:paraId="08DCE760"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Not sig.  (z = -1.04, p = .298)</w:t>
            </w:r>
          </w:p>
        </w:tc>
      </w:tr>
      <w:tr w:rsidR="00D11CE4" w:rsidRPr="005609D4" w14:paraId="0F2A7E5D"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609BAF8F"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8.  Institutional-community collaborations and local impact</w:t>
            </w:r>
          </w:p>
        </w:tc>
        <w:tc>
          <w:tcPr>
            <w:tcW w:w="705" w:type="dxa"/>
            <w:tcBorders>
              <w:top w:val="nil"/>
              <w:left w:val="nil"/>
              <w:bottom w:val="nil"/>
              <w:right w:val="nil"/>
            </w:tcBorders>
            <w:shd w:val="clear" w:color="auto" w:fill="auto"/>
            <w:tcMar>
              <w:top w:w="100" w:type="dxa"/>
              <w:left w:w="100" w:type="dxa"/>
              <w:bottom w:w="100" w:type="dxa"/>
              <w:right w:w="100" w:type="dxa"/>
            </w:tcMar>
          </w:tcPr>
          <w:p w14:paraId="4FAAFD08"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6%</w:t>
            </w:r>
          </w:p>
        </w:tc>
        <w:tc>
          <w:tcPr>
            <w:tcW w:w="735" w:type="dxa"/>
            <w:tcBorders>
              <w:top w:val="nil"/>
              <w:left w:val="nil"/>
              <w:bottom w:val="nil"/>
              <w:right w:val="nil"/>
            </w:tcBorders>
            <w:shd w:val="clear" w:color="auto" w:fill="auto"/>
            <w:tcMar>
              <w:top w:w="100" w:type="dxa"/>
              <w:left w:w="100" w:type="dxa"/>
              <w:bottom w:w="100" w:type="dxa"/>
              <w:right w:w="100" w:type="dxa"/>
            </w:tcMar>
          </w:tcPr>
          <w:p w14:paraId="6DB9EDF3"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2%</w:t>
            </w:r>
          </w:p>
        </w:tc>
        <w:tc>
          <w:tcPr>
            <w:tcW w:w="3510" w:type="dxa"/>
            <w:tcBorders>
              <w:top w:val="nil"/>
              <w:left w:val="nil"/>
              <w:bottom w:val="nil"/>
              <w:right w:val="nil"/>
            </w:tcBorders>
            <w:shd w:val="clear" w:color="auto" w:fill="auto"/>
            <w:tcMar>
              <w:top w:w="100" w:type="dxa"/>
              <w:left w:w="100" w:type="dxa"/>
              <w:bottom w:w="100" w:type="dxa"/>
              <w:right w:w="100" w:type="dxa"/>
            </w:tcMar>
          </w:tcPr>
          <w:p w14:paraId="10EA7F83"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Decreased sig.  (z = 3.63, p &lt; .001)</w:t>
            </w:r>
          </w:p>
        </w:tc>
      </w:tr>
      <w:tr w:rsidR="00D11CE4" w:rsidRPr="005609D4" w14:paraId="343BF6C7"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6C3E6AFB"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 xml:space="preserve">9.  Benefiting and Engaging faculty members </w:t>
            </w:r>
          </w:p>
        </w:tc>
        <w:tc>
          <w:tcPr>
            <w:tcW w:w="705" w:type="dxa"/>
            <w:tcBorders>
              <w:top w:val="nil"/>
              <w:left w:val="nil"/>
              <w:bottom w:val="nil"/>
              <w:right w:val="nil"/>
            </w:tcBorders>
            <w:shd w:val="clear" w:color="auto" w:fill="auto"/>
            <w:tcMar>
              <w:top w:w="100" w:type="dxa"/>
              <w:left w:w="100" w:type="dxa"/>
              <w:bottom w:w="100" w:type="dxa"/>
              <w:right w:w="100" w:type="dxa"/>
            </w:tcMar>
          </w:tcPr>
          <w:p w14:paraId="319B1E0A"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5%</w:t>
            </w:r>
          </w:p>
        </w:tc>
        <w:tc>
          <w:tcPr>
            <w:tcW w:w="735" w:type="dxa"/>
            <w:tcBorders>
              <w:top w:val="nil"/>
              <w:left w:val="nil"/>
              <w:bottom w:val="nil"/>
              <w:right w:val="nil"/>
            </w:tcBorders>
            <w:shd w:val="clear" w:color="auto" w:fill="auto"/>
            <w:tcMar>
              <w:top w:w="100" w:type="dxa"/>
              <w:left w:w="100" w:type="dxa"/>
              <w:bottom w:w="100" w:type="dxa"/>
              <w:right w:w="100" w:type="dxa"/>
            </w:tcMar>
          </w:tcPr>
          <w:p w14:paraId="26DC2D0B"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0.1%</w:t>
            </w:r>
          </w:p>
        </w:tc>
        <w:tc>
          <w:tcPr>
            <w:tcW w:w="3510" w:type="dxa"/>
            <w:tcBorders>
              <w:top w:val="nil"/>
              <w:left w:val="nil"/>
              <w:bottom w:val="nil"/>
              <w:right w:val="nil"/>
            </w:tcBorders>
            <w:shd w:val="clear" w:color="auto" w:fill="auto"/>
            <w:tcMar>
              <w:top w:w="100" w:type="dxa"/>
              <w:left w:w="100" w:type="dxa"/>
              <w:bottom w:w="100" w:type="dxa"/>
              <w:right w:w="100" w:type="dxa"/>
            </w:tcMar>
          </w:tcPr>
          <w:p w14:paraId="67B8B67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Decreased sig.  (z = 10.56, p &lt; .001)</w:t>
            </w:r>
          </w:p>
        </w:tc>
      </w:tr>
      <w:tr w:rsidR="00D11CE4" w:rsidRPr="005609D4" w14:paraId="6C4DF823"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7B76EF14"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10.  Institutional-community collaborations and local impact</w:t>
            </w:r>
          </w:p>
        </w:tc>
        <w:tc>
          <w:tcPr>
            <w:tcW w:w="705" w:type="dxa"/>
            <w:tcBorders>
              <w:top w:val="nil"/>
              <w:left w:val="nil"/>
              <w:bottom w:val="nil"/>
              <w:right w:val="nil"/>
            </w:tcBorders>
            <w:shd w:val="clear" w:color="auto" w:fill="auto"/>
            <w:tcMar>
              <w:top w:w="100" w:type="dxa"/>
              <w:left w:w="100" w:type="dxa"/>
              <w:bottom w:w="100" w:type="dxa"/>
              <w:right w:w="100" w:type="dxa"/>
            </w:tcMar>
          </w:tcPr>
          <w:p w14:paraId="1CBEDAB6"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8%</w:t>
            </w:r>
          </w:p>
        </w:tc>
        <w:tc>
          <w:tcPr>
            <w:tcW w:w="735" w:type="dxa"/>
            <w:tcBorders>
              <w:top w:val="nil"/>
              <w:left w:val="nil"/>
              <w:bottom w:val="nil"/>
              <w:right w:val="nil"/>
            </w:tcBorders>
            <w:shd w:val="clear" w:color="auto" w:fill="auto"/>
            <w:tcMar>
              <w:top w:w="100" w:type="dxa"/>
              <w:left w:w="100" w:type="dxa"/>
              <w:bottom w:w="100" w:type="dxa"/>
              <w:right w:w="100" w:type="dxa"/>
            </w:tcMar>
          </w:tcPr>
          <w:p w14:paraId="60D9491D"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4%</w:t>
            </w:r>
          </w:p>
        </w:tc>
        <w:tc>
          <w:tcPr>
            <w:tcW w:w="3510" w:type="dxa"/>
            <w:tcBorders>
              <w:top w:val="nil"/>
              <w:left w:val="nil"/>
              <w:bottom w:val="nil"/>
              <w:right w:val="nil"/>
            </w:tcBorders>
            <w:shd w:val="clear" w:color="auto" w:fill="auto"/>
            <w:tcMar>
              <w:top w:w="100" w:type="dxa"/>
              <w:left w:w="100" w:type="dxa"/>
              <w:bottom w:w="100" w:type="dxa"/>
              <w:right w:w="100" w:type="dxa"/>
            </w:tcMar>
          </w:tcPr>
          <w:p w14:paraId="0AD6C4F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Decreased sig.  (z = 3.01, p = .003)</w:t>
            </w:r>
          </w:p>
        </w:tc>
      </w:tr>
      <w:tr w:rsidR="00D11CE4" w:rsidRPr="005609D4" w14:paraId="00ED6CFD" w14:textId="77777777" w:rsidTr="00CF11F0">
        <w:tc>
          <w:tcPr>
            <w:tcW w:w="4455" w:type="dxa"/>
            <w:tcBorders>
              <w:top w:val="nil"/>
              <w:left w:val="nil"/>
              <w:bottom w:val="nil"/>
              <w:right w:val="nil"/>
            </w:tcBorders>
            <w:shd w:val="clear" w:color="auto" w:fill="auto"/>
            <w:tcMar>
              <w:top w:w="100" w:type="dxa"/>
              <w:left w:w="100" w:type="dxa"/>
              <w:bottom w:w="100" w:type="dxa"/>
              <w:right w:w="100" w:type="dxa"/>
            </w:tcMar>
          </w:tcPr>
          <w:p w14:paraId="06354576"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11.  Organizations’ short and long-term benefits</w:t>
            </w:r>
          </w:p>
        </w:tc>
        <w:tc>
          <w:tcPr>
            <w:tcW w:w="705" w:type="dxa"/>
            <w:tcBorders>
              <w:top w:val="nil"/>
              <w:left w:val="nil"/>
              <w:bottom w:val="nil"/>
              <w:right w:val="nil"/>
            </w:tcBorders>
            <w:shd w:val="clear" w:color="auto" w:fill="auto"/>
            <w:tcMar>
              <w:top w:w="100" w:type="dxa"/>
              <w:left w:w="100" w:type="dxa"/>
              <w:bottom w:w="100" w:type="dxa"/>
              <w:right w:w="100" w:type="dxa"/>
            </w:tcMar>
          </w:tcPr>
          <w:p w14:paraId="44B68553"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3%</w:t>
            </w:r>
          </w:p>
        </w:tc>
        <w:tc>
          <w:tcPr>
            <w:tcW w:w="735" w:type="dxa"/>
            <w:tcBorders>
              <w:top w:val="nil"/>
              <w:left w:val="nil"/>
              <w:bottom w:val="nil"/>
              <w:right w:val="nil"/>
            </w:tcBorders>
            <w:shd w:val="clear" w:color="auto" w:fill="auto"/>
            <w:tcMar>
              <w:top w:w="100" w:type="dxa"/>
              <w:left w:w="100" w:type="dxa"/>
              <w:bottom w:w="100" w:type="dxa"/>
              <w:right w:w="100" w:type="dxa"/>
            </w:tcMar>
          </w:tcPr>
          <w:p w14:paraId="2925A99B"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2%</w:t>
            </w:r>
          </w:p>
        </w:tc>
        <w:tc>
          <w:tcPr>
            <w:tcW w:w="3510" w:type="dxa"/>
            <w:tcBorders>
              <w:top w:val="nil"/>
              <w:left w:val="nil"/>
              <w:bottom w:val="nil"/>
              <w:right w:val="nil"/>
            </w:tcBorders>
            <w:shd w:val="clear" w:color="auto" w:fill="auto"/>
            <w:tcMar>
              <w:top w:w="100" w:type="dxa"/>
              <w:left w:w="100" w:type="dxa"/>
              <w:bottom w:w="100" w:type="dxa"/>
              <w:right w:w="100" w:type="dxa"/>
            </w:tcMar>
          </w:tcPr>
          <w:p w14:paraId="24E85ABB"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Not sig.  (z = 0.23, p = .815)</w:t>
            </w:r>
          </w:p>
        </w:tc>
      </w:tr>
      <w:tr w:rsidR="00D11CE4" w:rsidRPr="005609D4" w14:paraId="4E037C77" w14:textId="77777777" w:rsidTr="00CF11F0">
        <w:tc>
          <w:tcPr>
            <w:tcW w:w="4455" w:type="dxa"/>
            <w:tcBorders>
              <w:top w:val="nil"/>
              <w:left w:val="nil"/>
              <w:bottom w:val="single" w:sz="4" w:space="0" w:color="000000"/>
              <w:right w:val="nil"/>
            </w:tcBorders>
            <w:shd w:val="clear" w:color="auto" w:fill="auto"/>
            <w:tcMar>
              <w:top w:w="100" w:type="dxa"/>
              <w:left w:w="100" w:type="dxa"/>
              <w:bottom w:w="100" w:type="dxa"/>
              <w:right w:w="100" w:type="dxa"/>
            </w:tcMar>
          </w:tcPr>
          <w:p w14:paraId="2F7ACA1A"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12.  Students’ learning land-based or Indigenous ways of knowing, practices or culture (Note 1)</w:t>
            </w:r>
          </w:p>
        </w:tc>
        <w:tc>
          <w:tcPr>
            <w:tcW w:w="705" w:type="dxa"/>
            <w:tcBorders>
              <w:top w:val="nil"/>
              <w:left w:val="nil"/>
              <w:bottom w:val="single" w:sz="4" w:space="0" w:color="000000"/>
              <w:right w:val="nil"/>
            </w:tcBorders>
            <w:shd w:val="clear" w:color="auto" w:fill="auto"/>
            <w:tcMar>
              <w:top w:w="100" w:type="dxa"/>
              <w:left w:w="100" w:type="dxa"/>
              <w:bottom w:w="100" w:type="dxa"/>
              <w:right w:w="100" w:type="dxa"/>
            </w:tcMar>
          </w:tcPr>
          <w:p w14:paraId="14A81706"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none</w:t>
            </w:r>
          </w:p>
        </w:tc>
        <w:tc>
          <w:tcPr>
            <w:tcW w:w="735" w:type="dxa"/>
            <w:tcBorders>
              <w:top w:val="nil"/>
              <w:left w:val="nil"/>
              <w:bottom w:val="single" w:sz="4" w:space="0" w:color="000000"/>
              <w:right w:val="nil"/>
            </w:tcBorders>
            <w:shd w:val="clear" w:color="auto" w:fill="auto"/>
            <w:tcMar>
              <w:top w:w="100" w:type="dxa"/>
              <w:left w:w="100" w:type="dxa"/>
              <w:bottom w:w="100" w:type="dxa"/>
              <w:right w:w="100" w:type="dxa"/>
            </w:tcMar>
          </w:tcPr>
          <w:p w14:paraId="0F87FC6A" w14:textId="77777777" w:rsidR="00D11CE4" w:rsidRPr="005609D4" w:rsidRDefault="00D11CE4" w:rsidP="00CF11F0">
            <w:pPr>
              <w:widowControl w:val="0"/>
              <w:pBdr>
                <w:top w:val="nil"/>
                <w:left w:val="nil"/>
                <w:bottom w:val="nil"/>
                <w:right w:val="nil"/>
                <w:between w:val="nil"/>
              </w:pBdr>
              <w:jc w:val="center"/>
              <w:rPr>
                <w:rFonts w:ascii="Calibri" w:hAnsi="Calibri" w:cs="Calibri"/>
                <w:sz w:val="22"/>
                <w:szCs w:val="22"/>
              </w:rPr>
            </w:pPr>
            <w:r w:rsidRPr="005609D4">
              <w:rPr>
                <w:rFonts w:ascii="Calibri" w:hAnsi="Calibri" w:cs="Calibri"/>
                <w:sz w:val="22"/>
                <w:szCs w:val="22"/>
              </w:rPr>
              <w:t>2%</w:t>
            </w:r>
          </w:p>
        </w:tc>
        <w:tc>
          <w:tcPr>
            <w:tcW w:w="3510" w:type="dxa"/>
            <w:tcBorders>
              <w:top w:val="nil"/>
              <w:left w:val="nil"/>
              <w:bottom w:val="single" w:sz="4" w:space="0" w:color="000000"/>
              <w:right w:val="nil"/>
            </w:tcBorders>
            <w:shd w:val="clear" w:color="auto" w:fill="auto"/>
            <w:tcMar>
              <w:top w:w="100" w:type="dxa"/>
              <w:left w:w="100" w:type="dxa"/>
              <w:bottom w:w="100" w:type="dxa"/>
              <w:right w:w="100" w:type="dxa"/>
            </w:tcMar>
          </w:tcPr>
          <w:p w14:paraId="6EEB255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Not sig.  (z = -1.53, p = .127)</w:t>
            </w:r>
          </w:p>
        </w:tc>
      </w:tr>
    </w:tbl>
    <w:p w14:paraId="76CAAFFA" w14:textId="77777777" w:rsidR="00D11CE4" w:rsidRPr="005609D4" w:rsidRDefault="00D11CE4" w:rsidP="00D11CE4">
      <w:pPr>
        <w:spacing w:before="200" w:after="200"/>
        <w:ind w:left="561"/>
        <w:rPr>
          <w:rFonts w:ascii="Calibri" w:hAnsi="Calibri" w:cs="Calibri"/>
          <w:sz w:val="22"/>
          <w:szCs w:val="22"/>
        </w:rPr>
      </w:pPr>
      <w:r w:rsidRPr="005609D4">
        <w:rPr>
          <w:rFonts w:ascii="Calibri" w:hAnsi="Calibri" w:cs="Calibri"/>
          <w:sz w:val="22"/>
          <w:szCs w:val="22"/>
        </w:rPr>
        <w:t>Note: There are nuances with this category that need further exploration as Indigenous courses and experiences and the appropriateness of labelling as EL and WIL.</w:t>
      </w:r>
    </w:p>
    <w:p w14:paraId="6B644A63" w14:textId="77777777" w:rsidR="00D11CE4" w:rsidRDefault="00D11CE4" w:rsidP="00D11CE4">
      <w:pPr>
        <w:spacing w:line="480" w:lineRule="auto"/>
        <w:jc w:val="center"/>
        <w:rPr>
          <w:rFonts w:ascii="Calibri" w:hAnsi="Calibri" w:cs="Calibri"/>
          <w:b/>
          <w:bCs/>
          <w:sz w:val="22"/>
          <w:szCs w:val="22"/>
          <w:lang w:val="en-US"/>
        </w:rPr>
      </w:pPr>
    </w:p>
    <w:p w14:paraId="1361BA31" w14:textId="77777777" w:rsidR="005609D4" w:rsidRDefault="005609D4" w:rsidP="00D11CE4">
      <w:pPr>
        <w:spacing w:line="480" w:lineRule="auto"/>
        <w:jc w:val="center"/>
        <w:rPr>
          <w:rFonts w:ascii="Calibri" w:hAnsi="Calibri" w:cs="Calibri"/>
          <w:b/>
          <w:bCs/>
          <w:sz w:val="22"/>
          <w:szCs w:val="22"/>
          <w:lang w:val="en-US"/>
        </w:rPr>
      </w:pPr>
    </w:p>
    <w:p w14:paraId="115BC3F5" w14:textId="77777777" w:rsidR="005609D4" w:rsidRPr="005609D4" w:rsidRDefault="005609D4" w:rsidP="00D11CE4">
      <w:pPr>
        <w:spacing w:line="480" w:lineRule="auto"/>
        <w:jc w:val="center"/>
        <w:rPr>
          <w:rFonts w:ascii="Calibri" w:hAnsi="Calibri" w:cs="Calibri"/>
          <w:b/>
          <w:bCs/>
          <w:sz w:val="22"/>
          <w:szCs w:val="22"/>
          <w:lang w:val="en-US"/>
        </w:rPr>
      </w:pPr>
    </w:p>
    <w:p w14:paraId="4F78357B" w14:textId="77777777" w:rsidR="00D11CE4" w:rsidRPr="005609D4" w:rsidRDefault="00D11CE4" w:rsidP="00D11CE4">
      <w:pPr>
        <w:rPr>
          <w:rFonts w:ascii="Calibri" w:hAnsi="Calibri" w:cs="Calibri"/>
          <w:b/>
          <w:bCs/>
          <w:sz w:val="22"/>
          <w:szCs w:val="22"/>
        </w:rPr>
      </w:pPr>
      <w:r w:rsidRPr="005609D4">
        <w:rPr>
          <w:rFonts w:ascii="Calibri" w:hAnsi="Calibri" w:cs="Calibri"/>
          <w:b/>
          <w:bCs/>
          <w:sz w:val="22"/>
          <w:szCs w:val="22"/>
        </w:rPr>
        <w:lastRenderedPageBreak/>
        <w:t>Table 3</w:t>
      </w:r>
    </w:p>
    <w:p w14:paraId="51A89B48" w14:textId="77777777" w:rsidR="00D11CE4" w:rsidRPr="005609D4" w:rsidRDefault="00D11CE4" w:rsidP="00D11CE4">
      <w:pPr>
        <w:rPr>
          <w:rFonts w:ascii="Calibri" w:hAnsi="Calibri" w:cs="Calibri"/>
          <w:sz w:val="22"/>
          <w:szCs w:val="22"/>
        </w:rPr>
      </w:pPr>
      <w:r w:rsidRPr="005609D4">
        <w:rPr>
          <w:rFonts w:ascii="Calibri" w:hAnsi="Calibri" w:cs="Calibri"/>
          <w:sz w:val="22"/>
          <w:szCs w:val="22"/>
        </w:rPr>
        <w:t>2020 vs 2025 proportions of intended outcome categories and codes</w:t>
      </w:r>
    </w:p>
    <w:tbl>
      <w:tblPr>
        <w:tblW w:w="10305" w:type="dxa"/>
        <w:tblBorders>
          <w:top w:val="nil"/>
          <w:left w:val="nil"/>
          <w:bottom w:val="nil"/>
          <w:right w:val="nil"/>
          <w:insideH w:val="nil"/>
          <w:insideV w:val="nil"/>
        </w:tblBorders>
        <w:tblLayout w:type="fixed"/>
        <w:tblLook w:val="0600" w:firstRow="0" w:lastRow="0" w:firstColumn="0" w:lastColumn="0" w:noHBand="1" w:noVBand="1"/>
      </w:tblPr>
      <w:tblGrid>
        <w:gridCol w:w="2700"/>
        <w:gridCol w:w="5655"/>
        <w:gridCol w:w="660"/>
        <w:gridCol w:w="600"/>
        <w:gridCol w:w="690"/>
      </w:tblGrid>
      <w:tr w:rsidR="00D11CE4" w:rsidRPr="005609D4" w14:paraId="41D93AF0" w14:textId="77777777" w:rsidTr="00CF11F0">
        <w:trPr>
          <w:trHeight w:val="300"/>
        </w:trPr>
        <w:tc>
          <w:tcPr>
            <w:tcW w:w="2700" w:type="dxa"/>
            <w:tcBorders>
              <w:top w:val="single" w:sz="4" w:space="0" w:color="000000"/>
              <w:left w:val="nil"/>
              <w:bottom w:val="single" w:sz="4" w:space="0" w:color="000000"/>
              <w:right w:val="nil"/>
            </w:tcBorders>
            <w:shd w:val="clear" w:color="auto" w:fill="FFFFFF"/>
            <w:tcMar>
              <w:top w:w="0" w:type="dxa"/>
              <w:left w:w="40" w:type="dxa"/>
              <w:bottom w:w="0" w:type="dxa"/>
              <w:right w:w="40" w:type="dxa"/>
            </w:tcMar>
            <w:vAlign w:val="center"/>
          </w:tcPr>
          <w:p w14:paraId="4C59ECB3"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Category</w:t>
            </w:r>
          </w:p>
        </w:tc>
        <w:tc>
          <w:tcPr>
            <w:tcW w:w="5655" w:type="dxa"/>
            <w:tcBorders>
              <w:top w:val="single" w:sz="4" w:space="0" w:color="000000"/>
              <w:left w:val="nil"/>
              <w:bottom w:val="single" w:sz="4" w:space="0" w:color="000000"/>
              <w:right w:val="nil"/>
            </w:tcBorders>
            <w:shd w:val="clear" w:color="auto" w:fill="FFFFFF"/>
            <w:tcMar>
              <w:top w:w="0" w:type="dxa"/>
              <w:left w:w="40" w:type="dxa"/>
              <w:bottom w:w="0" w:type="dxa"/>
              <w:right w:w="40" w:type="dxa"/>
            </w:tcMar>
            <w:vAlign w:val="center"/>
          </w:tcPr>
          <w:p w14:paraId="30DA7D2C"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Final Refined Codes (2025) for 2020 &amp; 2025 comparison</w:t>
            </w:r>
          </w:p>
        </w:tc>
        <w:tc>
          <w:tcPr>
            <w:tcW w:w="660" w:type="dxa"/>
            <w:tcBorders>
              <w:top w:val="single" w:sz="4" w:space="0" w:color="000000"/>
              <w:left w:val="nil"/>
              <w:bottom w:val="single" w:sz="4" w:space="0" w:color="000000"/>
              <w:right w:val="nil"/>
            </w:tcBorders>
            <w:shd w:val="clear" w:color="auto" w:fill="FFFFFF"/>
            <w:tcMar>
              <w:top w:w="0" w:type="dxa"/>
              <w:left w:w="40" w:type="dxa"/>
              <w:bottom w:w="0" w:type="dxa"/>
              <w:right w:w="40" w:type="dxa"/>
            </w:tcMar>
            <w:vAlign w:val="center"/>
          </w:tcPr>
          <w:p w14:paraId="4900DB46"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2020</w:t>
            </w:r>
          </w:p>
        </w:tc>
        <w:tc>
          <w:tcPr>
            <w:tcW w:w="600" w:type="dxa"/>
            <w:tcBorders>
              <w:top w:val="single" w:sz="4" w:space="0" w:color="000000"/>
              <w:left w:val="nil"/>
              <w:bottom w:val="single" w:sz="4" w:space="0" w:color="000000"/>
              <w:right w:val="nil"/>
            </w:tcBorders>
            <w:shd w:val="clear" w:color="auto" w:fill="FFFFFF"/>
            <w:tcMar>
              <w:top w:w="0" w:type="dxa"/>
              <w:left w:w="40" w:type="dxa"/>
              <w:bottom w:w="0" w:type="dxa"/>
              <w:right w:w="40" w:type="dxa"/>
            </w:tcMar>
            <w:vAlign w:val="center"/>
          </w:tcPr>
          <w:p w14:paraId="40E8E18C"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2025</w:t>
            </w:r>
          </w:p>
        </w:tc>
        <w:tc>
          <w:tcPr>
            <w:tcW w:w="690" w:type="dxa"/>
            <w:tcBorders>
              <w:top w:val="single" w:sz="4" w:space="0" w:color="000000"/>
              <w:left w:val="nil"/>
              <w:bottom w:val="single" w:sz="4" w:space="0" w:color="000000"/>
              <w:right w:val="nil"/>
            </w:tcBorders>
            <w:shd w:val="clear" w:color="auto" w:fill="FFFFFF"/>
            <w:tcMar>
              <w:top w:w="0" w:type="dxa"/>
              <w:left w:w="40" w:type="dxa"/>
              <w:bottom w:w="0" w:type="dxa"/>
              <w:right w:w="40" w:type="dxa"/>
            </w:tcMar>
            <w:vAlign w:val="center"/>
          </w:tcPr>
          <w:p w14:paraId="41219EE3"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Total</w:t>
            </w:r>
          </w:p>
        </w:tc>
      </w:tr>
      <w:tr w:rsidR="00D11CE4" w:rsidRPr="005609D4" w14:paraId="2CEE408F" w14:textId="77777777" w:rsidTr="00CF11F0">
        <w:trPr>
          <w:trHeight w:val="405"/>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45B6E62C"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01.  Students' Career Preparedness</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14A90FC9"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1.1.  Gain experiences to meet employer expectations, stand out, and succeed</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34CF57C7"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5%</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11674B4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8%</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42BECDE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7%</w:t>
            </w:r>
          </w:p>
        </w:tc>
      </w:tr>
      <w:tr w:rsidR="00D11CE4" w:rsidRPr="005609D4" w14:paraId="0710F995" w14:textId="77777777" w:rsidTr="00CF11F0">
        <w:trPr>
          <w:trHeight w:val="12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4B2F6A6A"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751254BF"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1.2.  Build meaningful career connections or networking</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5B4A275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46D3E323"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49BD87D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r>
      <w:tr w:rsidR="00D11CE4" w:rsidRPr="005609D4" w14:paraId="377E12D9" w14:textId="77777777" w:rsidTr="00CF11F0">
        <w:trPr>
          <w:trHeight w:val="15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31437EA1"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055DB47E"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1.3.  Explore career options and interests</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76E1FC9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56A5381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1B661D4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r>
      <w:tr w:rsidR="00D11CE4" w:rsidRPr="005609D4" w14:paraId="64E5A73E" w14:textId="77777777" w:rsidTr="00CF11F0">
        <w:trPr>
          <w:trHeight w:val="339"/>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7AA5D171"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4660C83F"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1.4.  Gain entry or employment to launch postgraduate career (professional school or graduate entry, gaining employment)</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09EEFDD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308C081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071FAABC"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r>
      <w:tr w:rsidR="00D11CE4" w:rsidRPr="005609D4" w14:paraId="06797FF0" w14:textId="77777777" w:rsidTr="00CF11F0">
        <w:trPr>
          <w:trHeight w:val="30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594DD129"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195DF15B"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1.5.  Gain experience and awareness of sector, industry and workplace context</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4400F34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7381754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7%</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487D357B"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6%</w:t>
            </w:r>
          </w:p>
        </w:tc>
      </w:tr>
      <w:tr w:rsidR="00D11CE4" w:rsidRPr="005609D4" w14:paraId="40F892C4" w14:textId="77777777" w:rsidTr="00CF11F0">
        <w:trPr>
          <w:trHeight w:val="30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7E2DBBE7"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3B8E8315"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1.6.  Gain employment-seeking skills for job searches, resume writing, and interviews</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6547815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0339AFB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.5%</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5717A3E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.5%</w:t>
            </w:r>
          </w:p>
        </w:tc>
      </w:tr>
      <w:tr w:rsidR="00D11CE4" w:rsidRPr="005609D4" w14:paraId="7F150B7A" w14:textId="77777777" w:rsidTr="00CF11F0">
        <w:trPr>
          <w:trHeight w:val="300"/>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1B23479E"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337F26C8"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1.7.  Build connections between students and organizations/employers/sector</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2FFF8AD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797E3F2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7B4AC92F"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44D55F92" w14:textId="77777777" w:rsidTr="00CF11F0">
        <w:trPr>
          <w:trHeight w:val="165"/>
        </w:trPr>
        <w:tc>
          <w:tcPr>
            <w:tcW w:w="2700" w:type="dxa"/>
            <w:tcBorders>
              <w:top w:val="nil"/>
              <w:left w:val="nil"/>
              <w:bottom w:val="single" w:sz="4" w:space="0" w:color="000000"/>
              <w:right w:val="nil"/>
            </w:tcBorders>
            <w:tcMar>
              <w:top w:w="0" w:type="dxa"/>
              <w:left w:w="40" w:type="dxa"/>
              <w:bottom w:w="0" w:type="dxa"/>
              <w:right w:w="40" w:type="dxa"/>
            </w:tcMar>
            <w:vAlign w:val="center"/>
          </w:tcPr>
          <w:p w14:paraId="65664DD1"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01.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20C42691" w14:textId="77777777" w:rsidR="00D11CE4" w:rsidRPr="005609D4" w:rsidRDefault="00D11CE4" w:rsidP="00CF11F0">
            <w:pPr>
              <w:widowControl w:val="0"/>
              <w:rPr>
                <w:rFonts w:ascii="Calibri" w:hAnsi="Calibri" w:cs="Calibri"/>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200841C6"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18%</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77D00C23"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29%</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036E984C"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28%</w:t>
            </w:r>
          </w:p>
        </w:tc>
      </w:tr>
      <w:tr w:rsidR="00D11CE4" w:rsidRPr="005609D4" w14:paraId="192CC361" w14:textId="77777777" w:rsidTr="00CF11F0">
        <w:trPr>
          <w:trHeight w:val="45"/>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48C03436"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02.  Students' Skills Acquisition</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109FE319"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2.1.  Acquire technical and non-technical skills</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0D7E3A3"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7%</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5544CED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13%</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4BBFD3C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13%</w:t>
            </w:r>
          </w:p>
        </w:tc>
      </w:tr>
      <w:tr w:rsidR="00D11CE4" w:rsidRPr="005609D4" w14:paraId="24C92DF2" w14:textId="77777777" w:rsidTr="00CF11F0">
        <w:trPr>
          <w:trHeight w:val="30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65500F4B"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4B678CC8"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2.2.  Critical thinking</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5E90BB0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71631A3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01F1655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3F589A5D" w14:textId="77777777" w:rsidTr="00CF11F0">
        <w:trPr>
          <w:trHeight w:val="30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54F45C01"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3D7A80F5"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2.3.  Interpersonal skills (communication, professionalism and ethical behaviour)</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1FB214B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0DD2796B"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5E88C0C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r>
      <w:tr w:rsidR="00D11CE4" w:rsidRPr="005609D4" w14:paraId="0C44C0C3" w14:textId="77777777" w:rsidTr="00CF11F0">
        <w:trPr>
          <w:trHeight w:val="45"/>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4526B63B"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7929C41B"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2.4.  Creativity skills/creative problem-solving</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5255355F"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29ED5734"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113729A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2192D86F" w14:textId="77777777" w:rsidTr="00CF11F0">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44A39FF4"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543C266F" w14:textId="77777777" w:rsidR="00D11CE4" w:rsidRPr="005609D4" w:rsidRDefault="00D11CE4" w:rsidP="00CF11F0">
            <w:pPr>
              <w:widowControl w:val="0"/>
              <w:pBdr>
                <w:top w:val="nil"/>
                <w:left w:val="nil"/>
                <w:bottom w:val="nil"/>
                <w:right w:val="nil"/>
                <w:between w:val="nil"/>
              </w:pBdr>
              <w:rPr>
                <w:rFonts w:ascii="Calibri" w:hAnsi="Calibri" w:cs="Calibri"/>
                <w:sz w:val="22"/>
                <w:szCs w:val="22"/>
              </w:rPr>
            </w:pPr>
            <w:r w:rsidRPr="005609D4">
              <w:rPr>
                <w:rFonts w:ascii="Calibri" w:hAnsi="Calibri" w:cs="Calibri"/>
                <w:sz w:val="22"/>
                <w:szCs w:val="22"/>
              </w:rPr>
              <w:t>2.5.  Prepare to lead</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229B6584"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3E922FB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093DC3F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11AB04B6" w14:textId="77777777" w:rsidTr="00CF11F0">
        <w:trPr>
          <w:trHeight w:val="195"/>
        </w:trPr>
        <w:tc>
          <w:tcPr>
            <w:tcW w:w="2700" w:type="dxa"/>
            <w:tcBorders>
              <w:top w:val="nil"/>
              <w:left w:val="nil"/>
              <w:bottom w:val="single" w:sz="4" w:space="0" w:color="000000"/>
              <w:right w:val="nil"/>
            </w:tcBorders>
            <w:tcMar>
              <w:top w:w="0" w:type="dxa"/>
              <w:left w:w="40" w:type="dxa"/>
              <w:bottom w:w="0" w:type="dxa"/>
              <w:right w:w="40" w:type="dxa"/>
            </w:tcMar>
            <w:vAlign w:val="center"/>
          </w:tcPr>
          <w:p w14:paraId="1985D2AC"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02.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3DEFDABD"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35A75EBA"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18%</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70E9C5C8"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20%</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53557D0C"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20%</w:t>
            </w:r>
          </w:p>
        </w:tc>
      </w:tr>
      <w:tr w:rsidR="00D11CE4" w:rsidRPr="005609D4" w14:paraId="1C09BE7A" w14:textId="77777777" w:rsidTr="00CF11F0">
        <w:trPr>
          <w:trHeight w:val="180"/>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68E07B4D"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03.  Students' Theory-Practice Integration</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06E73A3A"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3.1.  Integrate Theory &amp; Practice</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FB1833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080374A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.04%</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079FE46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r>
      <w:tr w:rsidR="00D11CE4" w:rsidRPr="005609D4" w14:paraId="3A56004E" w14:textId="77777777" w:rsidTr="00CF11F0">
        <w:trPr>
          <w:trHeight w:val="300"/>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3CDD023F"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05AC0002"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3.2.  Apply theory to practice</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32890D64"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7%</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4ED385C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18%</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23C0E676"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17%</w:t>
            </w:r>
          </w:p>
        </w:tc>
      </w:tr>
      <w:tr w:rsidR="00D11CE4" w:rsidRPr="005609D4" w14:paraId="177AE1BE" w14:textId="77777777" w:rsidTr="00CF11F0">
        <w:trPr>
          <w:trHeight w:val="195"/>
        </w:trPr>
        <w:tc>
          <w:tcPr>
            <w:tcW w:w="2700" w:type="dxa"/>
            <w:tcBorders>
              <w:top w:val="nil"/>
              <w:left w:val="nil"/>
              <w:bottom w:val="single" w:sz="4" w:space="0" w:color="000000"/>
              <w:right w:val="nil"/>
            </w:tcBorders>
            <w:tcMar>
              <w:top w:w="0" w:type="dxa"/>
              <w:left w:w="40" w:type="dxa"/>
              <w:bottom w:w="0" w:type="dxa"/>
              <w:right w:w="40" w:type="dxa"/>
            </w:tcMar>
            <w:vAlign w:val="center"/>
          </w:tcPr>
          <w:p w14:paraId="10567619"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03.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5FFD54AD"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14A66883"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9%</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4F042023"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22%</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6C51C18B"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21%</w:t>
            </w:r>
          </w:p>
        </w:tc>
      </w:tr>
      <w:tr w:rsidR="00D11CE4" w:rsidRPr="005609D4" w14:paraId="39BDB7A4" w14:textId="77777777" w:rsidTr="00CF11F0">
        <w:trPr>
          <w:trHeight w:val="255"/>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6032ED65"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04.  Student's Adaptability Through Conceptual Expertise and clarified values</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1CCA1E73"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4.1.  Clarify and expand beliefs, perspectives, and values</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10FEE4B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1D9815A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E832F6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36A7870E" w14:textId="77777777" w:rsidTr="00CF11F0">
        <w:trPr>
          <w:trHeight w:val="200"/>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3E3ADDED"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7360B4A5"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4.2.  Improve conceptual learning</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5FFF1F3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8%</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595C816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4CDC3344"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r>
      <w:tr w:rsidR="00D11CE4" w:rsidRPr="005609D4" w14:paraId="3A51F911" w14:textId="77777777" w:rsidTr="00CF11F0">
        <w:trPr>
          <w:trHeight w:val="195"/>
        </w:trPr>
        <w:tc>
          <w:tcPr>
            <w:tcW w:w="2700" w:type="dxa"/>
            <w:tcBorders>
              <w:top w:val="nil"/>
              <w:left w:val="nil"/>
              <w:bottom w:val="single" w:sz="4" w:space="0" w:color="000000"/>
              <w:right w:val="nil"/>
            </w:tcBorders>
            <w:tcMar>
              <w:top w:w="0" w:type="dxa"/>
              <w:left w:w="40" w:type="dxa"/>
              <w:bottom w:w="0" w:type="dxa"/>
              <w:right w:w="40" w:type="dxa"/>
            </w:tcMar>
            <w:vAlign w:val="center"/>
          </w:tcPr>
          <w:p w14:paraId="53F4E546"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04.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750C8951"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7CFCCEED"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10%</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099B4686"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3.4%</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24ED2FDD"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4%</w:t>
            </w:r>
          </w:p>
        </w:tc>
      </w:tr>
      <w:tr w:rsidR="00D11CE4" w:rsidRPr="005609D4" w14:paraId="6FF73938" w14:textId="77777777" w:rsidTr="00CF11F0">
        <w:trPr>
          <w:trHeight w:val="195"/>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75CCDB76"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05.  Student's Confidence, Wellbeing, Personal Growth and Lifelong Learning</w:t>
            </w:r>
          </w:p>
        </w:tc>
        <w:tc>
          <w:tcPr>
            <w:tcW w:w="5655" w:type="dxa"/>
            <w:tcBorders>
              <w:top w:val="single" w:sz="4" w:space="0" w:color="000000"/>
              <w:left w:val="nil"/>
              <w:bottom w:val="single" w:sz="4" w:space="0" w:color="FFFFFF"/>
              <w:right w:val="nil"/>
            </w:tcBorders>
            <w:tcMar>
              <w:top w:w="0" w:type="dxa"/>
              <w:left w:w="40" w:type="dxa"/>
              <w:bottom w:w="0" w:type="dxa"/>
              <w:right w:w="40" w:type="dxa"/>
            </w:tcMar>
            <w:vAlign w:val="center"/>
          </w:tcPr>
          <w:p w14:paraId="4F0C3959"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5.1.  Self-directed and life-long learning</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2300F25C"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765E83E4"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22F6C52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7901FF30" w14:textId="77777777" w:rsidTr="00CF11F0">
        <w:trPr>
          <w:trHeight w:val="15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7A5B0C6E"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11F8D82B"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5.2.  Self-confidence</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1289950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432627B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29CEAE5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7A5075E7" w14:textId="77777777" w:rsidTr="00CF11F0">
        <w:trPr>
          <w:trHeight w:val="9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5CA7C341"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2AFA8755"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5.3.  Personal growth</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68267EE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1.2%</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27DE3DA7"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1.0%</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13F0073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1C382166" w14:textId="77777777" w:rsidTr="00CF11F0">
        <w:trPr>
          <w:trHeight w:val="225"/>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7BC82B55"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4933450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5.4.  Improve mental health, well-being and resilience ability</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4EEB0B3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none</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2A19D3E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3BE35B73"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r>
      <w:tr w:rsidR="00D11CE4" w:rsidRPr="005609D4" w14:paraId="4CA8B508" w14:textId="77777777" w:rsidTr="00CF11F0">
        <w:trPr>
          <w:trHeight w:val="79"/>
        </w:trPr>
        <w:tc>
          <w:tcPr>
            <w:tcW w:w="2700" w:type="dxa"/>
            <w:tcBorders>
              <w:top w:val="nil"/>
              <w:left w:val="nil"/>
              <w:bottom w:val="single" w:sz="4" w:space="0" w:color="000000"/>
              <w:right w:val="nil"/>
            </w:tcBorders>
            <w:tcMar>
              <w:top w:w="0" w:type="dxa"/>
              <w:left w:w="40" w:type="dxa"/>
              <w:bottom w:w="0" w:type="dxa"/>
              <w:right w:w="40" w:type="dxa"/>
            </w:tcMar>
            <w:vAlign w:val="center"/>
          </w:tcPr>
          <w:p w14:paraId="3065F8A2"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05.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530029A1" w14:textId="77777777" w:rsidR="00D11CE4" w:rsidRPr="005609D4" w:rsidRDefault="00D11CE4" w:rsidP="00CF11F0">
            <w:pPr>
              <w:widowControl w:val="0"/>
              <w:rPr>
                <w:rFonts w:ascii="Calibri" w:hAnsi="Calibri" w:cs="Calibri"/>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4849E9F8"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6%</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56A198D2"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5%</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1070A64E"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5%</w:t>
            </w:r>
          </w:p>
        </w:tc>
      </w:tr>
      <w:tr w:rsidR="00D11CE4" w:rsidRPr="005609D4" w14:paraId="0CAA8FB3" w14:textId="77777777" w:rsidTr="00CF11F0">
        <w:trPr>
          <w:trHeight w:val="276"/>
        </w:trPr>
        <w:tc>
          <w:tcPr>
            <w:tcW w:w="8355" w:type="dxa"/>
            <w:gridSpan w:val="2"/>
            <w:vMerge w:val="restart"/>
            <w:tcBorders>
              <w:top w:val="single" w:sz="4" w:space="0" w:color="000000"/>
              <w:left w:val="nil"/>
              <w:bottom w:val="single" w:sz="4" w:space="0" w:color="FFFFFF"/>
              <w:right w:val="single" w:sz="4" w:space="0" w:color="FFFFFF"/>
            </w:tcBorders>
            <w:tcMar>
              <w:top w:w="0" w:type="dxa"/>
              <w:left w:w="40" w:type="dxa"/>
              <w:bottom w:w="0" w:type="dxa"/>
              <w:right w:w="40" w:type="dxa"/>
            </w:tcMar>
            <w:vAlign w:val="center"/>
          </w:tcPr>
          <w:p w14:paraId="7F35E4AB"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06.  Students' Literacies numeracy, financial, computer, digital, writing and reading)</w:t>
            </w:r>
          </w:p>
        </w:tc>
        <w:tc>
          <w:tcPr>
            <w:tcW w:w="660" w:type="dxa"/>
            <w:vMerge w:val="restart"/>
            <w:tcBorders>
              <w:top w:val="single" w:sz="4" w:space="0" w:color="000000"/>
              <w:left w:val="nil"/>
              <w:bottom w:val="single" w:sz="4" w:space="0" w:color="FFFFFF"/>
              <w:right w:val="nil"/>
            </w:tcBorders>
            <w:tcMar>
              <w:top w:w="0" w:type="dxa"/>
              <w:left w:w="40" w:type="dxa"/>
              <w:bottom w:w="0" w:type="dxa"/>
              <w:right w:w="40" w:type="dxa"/>
            </w:tcMar>
            <w:vAlign w:val="center"/>
          </w:tcPr>
          <w:p w14:paraId="5192827C" w14:textId="77777777" w:rsidR="00D11CE4" w:rsidRPr="005609D4" w:rsidRDefault="00D11CE4" w:rsidP="00CF11F0">
            <w:pPr>
              <w:widowControl w:val="0"/>
              <w:rPr>
                <w:rFonts w:ascii="Calibri" w:hAnsi="Calibri" w:cs="Calibri"/>
                <w:sz w:val="22"/>
                <w:szCs w:val="22"/>
              </w:rPr>
            </w:pPr>
          </w:p>
        </w:tc>
        <w:tc>
          <w:tcPr>
            <w:tcW w:w="600" w:type="dxa"/>
            <w:vMerge w:val="restart"/>
            <w:tcBorders>
              <w:top w:val="single" w:sz="4" w:space="0" w:color="000000"/>
              <w:left w:val="nil"/>
              <w:bottom w:val="single" w:sz="4" w:space="0" w:color="FFFFFF"/>
              <w:right w:val="nil"/>
            </w:tcBorders>
            <w:tcMar>
              <w:top w:w="0" w:type="dxa"/>
              <w:left w:w="40" w:type="dxa"/>
              <w:bottom w:w="0" w:type="dxa"/>
              <w:right w:w="40" w:type="dxa"/>
            </w:tcMar>
            <w:vAlign w:val="center"/>
          </w:tcPr>
          <w:p w14:paraId="7CA4AD6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vMerge w:val="restart"/>
            <w:tcBorders>
              <w:top w:val="single" w:sz="4" w:space="0" w:color="000000"/>
              <w:left w:val="nil"/>
              <w:bottom w:val="single" w:sz="4" w:space="0" w:color="FFFFFF"/>
              <w:right w:val="nil"/>
            </w:tcBorders>
            <w:tcMar>
              <w:top w:w="0" w:type="dxa"/>
              <w:left w:w="40" w:type="dxa"/>
              <w:bottom w:w="0" w:type="dxa"/>
              <w:right w:w="40" w:type="dxa"/>
            </w:tcMar>
            <w:vAlign w:val="center"/>
          </w:tcPr>
          <w:p w14:paraId="549C566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5889223A" w14:textId="77777777" w:rsidTr="00CF11F0">
        <w:trPr>
          <w:trHeight w:val="276"/>
        </w:trPr>
        <w:tc>
          <w:tcPr>
            <w:tcW w:w="8355" w:type="dxa"/>
            <w:gridSpan w:val="2"/>
            <w:vMerge/>
            <w:tcBorders>
              <w:top w:val="nil"/>
              <w:left w:val="nil"/>
              <w:bottom w:val="single" w:sz="4" w:space="0" w:color="000000"/>
              <w:right w:val="nil"/>
            </w:tcBorders>
            <w:tcMar>
              <w:top w:w="0" w:type="dxa"/>
              <w:left w:w="40" w:type="dxa"/>
              <w:bottom w:w="0" w:type="dxa"/>
              <w:right w:w="40" w:type="dxa"/>
            </w:tcMar>
            <w:vAlign w:val="center"/>
          </w:tcPr>
          <w:p w14:paraId="06576BF2" w14:textId="77777777" w:rsidR="00D11CE4" w:rsidRPr="005609D4" w:rsidRDefault="00D11CE4" w:rsidP="00CF11F0">
            <w:pPr>
              <w:widowControl w:val="0"/>
              <w:rPr>
                <w:rFonts w:ascii="Calibri" w:hAnsi="Calibri" w:cs="Calibri"/>
                <w:b/>
                <w:bCs/>
                <w:sz w:val="22"/>
                <w:szCs w:val="22"/>
              </w:rPr>
            </w:pPr>
          </w:p>
        </w:tc>
        <w:tc>
          <w:tcPr>
            <w:tcW w:w="660" w:type="dxa"/>
            <w:vMerge/>
            <w:tcBorders>
              <w:top w:val="nil"/>
              <w:left w:val="nil"/>
              <w:bottom w:val="single" w:sz="4" w:space="0" w:color="000000"/>
              <w:right w:val="nil"/>
            </w:tcBorders>
            <w:tcMar>
              <w:top w:w="0" w:type="dxa"/>
              <w:left w:w="40" w:type="dxa"/>
              <w:bottom w:w="0" w:type="dxa"/>
              <w:right w:w="40" w:type="dxa"/>
            </w:tcMar>
            <w:vAlign w:val="center"/>
          </w:tcPr>
          <w:p w14:paraId="62D4D2F1" w14:textId="77777777" w:rsidR="00D11CE4" w:rsidRPr="005609D4" w:rsidRDefault="00D11CE4" w:rsidP="00CF11F0">
            <w:pPr>
              <w:widowControl w:val="0"/>
              <w:rPr>
                <w:rFonts w:ascii="Calibri" w:hAnsi="Calibri" w:cs="Calibri"/>
                <w:b/>
                <w:bCs/>
                <w:sz w:val="22"/>
                <w:szCs w:val="22"/>
              </w:rPr>
            </w:pPr>
          </w:p>
        </w:tc>
        <w:tc>
          <w:tcPr>
            <w:tcW w:w="600" w:type="dxa"/>
            <w:vMerge/>
            <w:tcBorders>
              <w:top w:val="nil"/>
              <w:left w:val="nil"/>
              <w:bottom w:val="single" w:sz="4" w:space="0" w:color="000000"/>
              <w:right w:val="nil"/>
            </w:tcBorders>
            <w:tcMar>
              <w:top w:w="0" w:type="dxa"/>
              <w:left w:w="40" w:type="dxa"/>
              <w:bottom w:w="0" w:type="dxa"/>
              <w:right w:w="40" w:type="dxa"/>
            </w:tcMar>
            <w:vAlign w:val="center"/>
          </w:tcPr>
          <w:p w14:paraId="19AD51F4" w14:textId="77777777" w:rsidR="00D11CE4" w:rsidRPr="005609D4" w:rsidRDefault="00D11CE4" w:rsidP="00CF11F0">
            <w:pPr>
              <w:widowControl w:val="0"/>
              <w:jc w:val="center"/>
              <w:rPr>
                <w:rFonts w:ascii="Calibri" w:hAnsi="Calibri" w:cs="Calibri"/>
                <w:b/>
                <w:bCs/>
                <w:sz w:val="22"/>
                <w:szCs w:val="22"/>
              </w:rPr>
            </w:pPr>
          </w:p>
        </w:tc>
        <w:tc>
          <w:tcPr>
            <w:tcW w:w="690" w:type="dxa"/>
            <w:vMerge/>
            <w:tcBorders>
              <w:top w:val="nil"/>
              <w:left w:val="nil"/>
              <w:bottom w:val="single" w:sz="4" w:space="0" w:color="000000"/>
              <w:right w:val="nil"/>
            </w:tcBorders>
            <w:tcMar>
              <w:top w:w="0" w:type="dxa"/>
              <w:left w:w="40" w:type="dxa"/>
              <w:bottom w:w="0" w:type="dxa"/>
              <w:right w:w="40" w:type="dxa"/>
            </w:tcMar>
            <w:vAlign w:val="center"/>
          </w:tcPr>
          <w:p w14:paraId="292DAE6C" w14:textId="77777777" w:rsidR="00D11CE4" w:rsidRPr="005609D4" w:rsidRDefault="00D11CE4" w:rsidP="00CF11F0">
            <w:pPr>
              <w:widowControl w:val="0"/>
              <w:jc w:val="center"/>
              <w:rPr>
                <w:rFonts w:ascii="Calibri" w:hAnsi="Calibri" w:cs="Calibri"/>
                <w:b/>
                <w:bCs/>
                <w:sz w:val="22"/>
                <w:szCs w:val="22"/>
              </w:rPr>
            </w:pPr>
          </w:p>
        </w:tc>
      </w:tr>
      <w:tr w:rsidR="00D11CE4" w:rsidRPr="005609D4" w14:paraId="2323A5A3" w14:textId="77777777" w:rsidTr="00CF11F0">
        <w:trPr>
          <w:trHeight w:val="120"/>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1FF2DF5E"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07.  Relational Connection and Contributions of Students in Community</w:t>
            </w:r>
          </w:p>
        </w:tc>
        <w:tc>
          <w:tcPr>
            <w:tcW w:w="5655" w:type="dxa"/>
            <w:tcBorders>
              <w:top w:val="single" w:sz="4" w:space="0" w:color="000000"/>
              <w:left w:val="nil"/>
              <w:bottom w:val="single" w:sz="4" w:space="0" w:color="FFFFFF"/>
              <w:right w:val="nil"/>
            </w:tcBorders>
            <w:tcMar>
              <w:top w:w="0" w:type="dxa"/>
              <w:left w:w="40" w:type="dxa"/>
              <w:bottom w:w="0" w:type="dxa"/>
              <w:right w:w="40" w:type="dxa"/>
            </w:tcMar>
            <w:vAlign w:val="center"/>
          </w:tcPr>
          <w:p w14:paraId="436FD9E3"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7.1.  Make a difference</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3506B0E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1.6%</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5CBD8D2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2.4%</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EDCAE9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1FF26EC4" w14:textId="77777777" w:rsidTr="00CF11F0">
        <w:trPr>
          <w:trHeight w:val="195"/>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29962792"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0078DF37"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7.2.  Build civic &amp; community engagement and awareness</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3817E5EC"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2.3%</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07DC5745"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1.9%</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2B0CAA6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608A8ECF" w14:textId="77777777" w:rsidTr="00CF11F0">
        <w:trPr>
          <w:trHeight w:val="75"/>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329008E8"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5AB26C7E"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7.3.  Gain understanding of complex social issues</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09F9112B"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3314479C"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2C0BECDC"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71FAD273" w14:textId="77777777" w:rsidTr="00CF11F0">
        <w:trPr>
          <w:trHeight w:val="225"/>
        </w:trPr>
        <w:tc>
          <w:tcPr>
            <w:tcW w:w="2700" w:type="dxa"/>
            <w:tcBorders>
              <w:top w:val="nil"/>
              <w:left w:val="nil"/>
              <w:bottom w:val="single" w:sz="4" w:space="0" w:color="000000"/>
              <w:right w:val="nil"/>
            </w:tcBorders>
            <w:tcMar>
              <w:top w:w="0" w:type="dxa"/>
              <w:left w:w="40" w:type="dxa"/>
              <w:bottom w:w="0" w:type="dxa"/>
              <w:right w:w="40" w:type="dxa"/>
            </w:tcMar>
            <w:vAlign w:val="center"/>
          </w:tcPr>
          <w:p w14:paraId="3E9581B4"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07.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089D9C74"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2187BB40"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4%</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6F27470F"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6%</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50DE0F39"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6%</w:t>
            </w:r>
          </w:p>
        </w:tc>
      </w:tr>
      <w:tr w:rsidR="00D11CE4" w:rsidRPr="005609D4" w14:paraId="03EE7928" w14:textId="77777777" w:rsidTr="00CF11F0">
        <w:trPr>
          <w:trHeight w:val="360"/>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3E687053"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08.  Institutional Improvement of Student Experience and Teaching</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47AA056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8.1.  Greater student self-directed learning motivation, engagement, retention and recruitment</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09D434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0C2B3AB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71772C6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2FF2AA43" w14:textId="77777777" w:rsidTr="00CF11F0">
        <w:trPr>
          <w:trHeight w:val="195"/>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6EAAA701"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40" w:type="dxa"/>
              <w:bottom w:w="0" w:type="dxa"/>
              <w:right w:w="40" w:type="dxa"/>
            </w:tcMar>
            <w:vAlign w:val="center"/>
          </w:tcPr>
          <w:p w14:paraId="23D5C967"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8.2.  Better teaching</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5B9C279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10A7CE6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10A5491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1F7BFF7C" w14:textId="77777777" w:rsidTr="00CF11F0">
        <w:trPr>
          <w:trHeight w:val="270"/>
        </w:trPr>
        <w:tc>
          <w:tcPr>
            <w:tcW w:w="2700" w:type="dxa"/>
            <w:tcBorders>
              <w:top w:val="nil"/>
              <w:left w:val="nil"/>
              <w:bottom w:val="single" w:sz="4" w:space="0" w:color="000000"/>
              <w:right w:val="nil"/>
            </w:tcBorders>
            <w:tcMar>
              <w:top w:w="0" w:type="dxa"/>
              <w:left w:w="40" w:type="dxa"/>
              <w:bottom w:w="0" w:type="dxa"/>
              <w:right w:w="40" w:type="dxa"/>
            </w:tcMar>
            <w:vAlign w:val="center"/>
          </w:tcPr>
          <w:p w14:paraId="0B7AA62F"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08.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7B460461"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4822FCFE"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6%</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01506A94"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05155C21"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3%</w:t>
            </w:r>
          </w:p>
        </w:tc>
      </w:tr>
      <w:tr w:rsidR="00D11CE4" w:rsidRPr="005609D4" w14:paraId="0BE1301C" w14:textId="77777777" w:rsidTr="00CF11F0">
        <w:trPr>
          <w:trHeight w:val="390"/>
        </w:trPr>
        <w:tc>
          <w:tcPr>
            <w:tcW w:w="8355" w:type="dxa"/>
            <w:gridSpan w:val="2"/>
            <w:vMerge w:val="restart"/>
            <w:tcBorders>
              <w:top w:val="single" w:sz="4" w:space="0" w:color="000000"/>
              <w:left w:val="nil"/>
              <w:bottom w:val="single" w:sz="4" w:space="0" w:color="FFFFFF"/>
              <w:right w:val="single" w:sz="4" w:space="0" w:color="FFFFFF"/>
            </w:tcBorders>
            <w:tcMar>
              <w:top w:w="0" w:type="dxa"/>
              <w:left w:w="40" w:type="dxa"/>
              <w:bottom w:w="0" w:type="dxa"/>
              <w:right w:w="40" w:type="dxa"/>
            </w:tcMar>
            <w:vAlign w:val="center"/>
          </w:tcPr>
          <w:p w14:paraId="7304FE6F"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9.  Benefiting and engaging faculty in EL/WIL</w:t>
            </w:r>
          </w:p>
        </w:tc>
        <w:tc>
          <w:tcPr>
            <w:tcW w:w="660" w:type="dxa"/>
            <w:vMerge w:val="restart"/>
            <w:tcBorders>
              <w:top w:val="single" w:sz="4" w:space="0" w:color="000000"/>
              <w:left w:val="nil"/>
              <w:bottom w:val="single" w:sz="4" w:space="0" w:color="FFFFFF"/>
              <w:right w:val="nil"/>
            </w:tcBorders>
            <w:tcMar>
              <w:top w:w="0" w:type="dxa"/>
              <w:left w:w="40" w:type="dxa"/>
              <w:bottom w:w="0" w:type="dxa"/>
              <w:right w:w="40" w:type="dxa"/>
            </w:tcMar>
            <w:vAlign w:val="center"/>
          </w:tcPr>
          <w:p w14:paraId="21A1E6B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5%</w:t>
            </w:r>
          </w:p>
        </w:tc>
        <w:tc>
          <w:tcPr>
            <w:tcW w:w="600" w:type="dxa"/>
            <w:vMerge w:val="restart"/>
            <w:tcBorders>
              <w:top w:val="single" w:sz="4" w:space="0" w:color="000000"/>
              <w:left w:val="nil"/>
              <w:bottom w:val="single" w:sz="4" w:space="0" w:color="FFFFFF"/>
              <w:right w:val="nil"/>
            </w:tcBorders>
            <w:tcMar>
              <w:top w:w="0" w:type="dxa"/>
              <w:left w:w="40" w:type="dxa"/>
              <w:bottom w:w="0" w:type="dxa"/>
              <w:right w:w="40" w:type="dxa"/>
            </w:tcMar>
            <w:vAlign w:val="center"/>
          </w:tcPr>
          <w:p w14:paraId="5B1BE7FF"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vMerge w:val="restart"/>
            <w:tcBorders>
              <w:top w:val="single" w:sz="4" w:space="0" w:color="000000"/>
              <w:left w:val="nil"/>
              <w:bottom w:val="single" w:sz="4" w:space="0" w:color="FFFFFF"/>
              <w:right w:val="nil"/>
            </w:tcBorders>
            <w:tcMar>
              <w:top w:w="0" w:type="dxa"/>
              <w:left w:w="40" w:type="dxa"/>
              <w:bottom w:w="0" w:type="dxa"/>
              <w:right w:w="40" w:type="dxa"/>
            </w:tcMar>
            <w:vAlign w:val="center"/>
          </w:tcPr>
          <w:p w14:paraId="589FF75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3CB26EAA" w14:textId="77777777" w:rsidTr="00CF11F0">
        <w:trPr>
          <w:trHeight w:val="276"/>
        </w:trPr>
        <w:tc>
          <w:tcPr>
            <w:tcW w:w="8355" w:type="dxa"/>
            <w:gridSpan w:val="2"/>
            <w:vMerge/>
            <w:tcBorders>
              <w:top w:val="nil"/>
              <w:left w:val="nil"/>
              <w:bottom w:val="single" w:sz="4" w:space="0" w:color="000000"/>
              <w:right w:val="nil"/>
            </w:tcBorders>
            <w:tcMar>
              <w:top w:w="0" w:type="dxa"/>
              <w:left w:w="40" w:type="dxa"/>
              <w:bottom w:w="0" w:type="dxa"/>
              <w:right w:w="40" w:type="dxa"/>
            </w:tcMar>
            <w:vAlign w:val="center"/>
          </w:tcPr>
          <w:p w14:paraId="58FF51AD" w14:textId="77777777" w:rsidR="00D11CE4" w:rsidRPr="005609D4" w:rsidRDefault="00D11CE4" w:rsidP="00CF11F0">
            <w:pPr>
              <w:widowControl w:val="0"/>
              <w:rPr>
                <w:rFonts w:ascii="Calibri" w:hAnsi="Calibri" w:cs="Calibri"/>
                <w:b/>
                <w:bCs/>
                <w:sz w:val="22"/>
                <w:szCs w:val="22"/>
              </w:rPr>
            </w:pPr>
          </w:p>
        </w:tc>
        <w:tc>
          <w:tcPr>
            <w:tcW w:w="660" w:type="dxa"/>
            <w:vMerge/>
            <w:tcBorders>
              <w:top w:val="nil"/>
              <w:left w:val="nil"/>
              <w:bottom w:val="single" w:sz="4" w:space="0" w:color="000000"/>
              <w:right w:val="nil"/>
            </w:tcBorders>
            <w:tcMar>
              <w:top w:w="0" w:type="dxa"/>
              <w:left w:w="40" w:type="dxa"/>
              <w:bottom w:w="0" w:type="dxa"/>
              <w:right w:w="40" w:type="dxa"/>
            </w:tcMar>
            <w:vAlign w:val="center"/>
          </w:tcPr>
          <w:p w14:paraId="55ED39D4" w14:textId="77777777" w:rsidR="00D11CE4" w:rsidRPr="005609D4" w:rsidRDefault="00D11CE4" w:rsidP="00CF11F0">
            <w:pPr>
              <w:widowControl w:val="0"/>
              <w:jc w:val="center"/>
              <w:rPr>
                <w:rFonts w:ascii="Calibri" w:hAnsi="Calibri" w:cs="Calibri"/>
                <w:sz w:val="22"/>
                <w:szCs w:val="22"/>
              </w:rPr>
            </w:pPr>
          </w:p>
        </w:tc>
        <w:tc>
          <w:tcPr>
            <w:tcW w:w="600" w:type="dxa"/>
            <w:vMerge/>
            <w:tcBorders>
              <w:top w:val="nil"/>
              <w:left w:val="nil"/>
              <w:bottom w:val="single" w:sz="4" w:space="0" w:color="000000"/>
              <w:right w:val="nil"/>
            </w:tcBorders>
            <w:tcMar>
              <w:top w:w="0" w:type="dxa"/>
              <w:left w:w="40" w:type="dxa"/>
              <w:bottom w:w="0" w:type="dxa"/>
              <w:right w:w="40" w:type="dxa"/>
            </w:tcMar>
            <w:vAlign w:val="center"/>
          </w:tcPr>
          <w:p w14:paraId="08D06E02" w14:textId="77777777" w:rsidR="00D11CE4" w:rsidRPr="005609D4" w:rsidRDefault="00D11CE4" w:rsidP="00CF11F0">
            <w:pPr>
              <w:widowControl w:val="0"/>
              <w:jc w:val="center"/>
              <w:rPr>
                <w:rFonts w:ascii="Calibri" w:hAnsi="Calibri" w:cs="Calibri"/>
                <w:sz w:val="22"/>
                <w:szCs w:val="22"/>
              </w:rPr>
            </w:pPr>
          </w:p>
        </w:tc>
        <w:tc>
          <w:tcPr>
            <w:tcW w:w="690" w:type="dxa"/>
            <w:vMerge/>
            <w:tcBorders>
              <w:top w:val="nil"/>
              <w:left w:val="nil"/>
              <w:bottom w:val="single" w:sz="4" w:space="0" w:color="000000"/>
              <w:right w:val="nil"/>
            </w:tcBorders>
            <w:tcMar>
              <w:top w:w="0" w:type="dxa"/>
              <w:left w:w="40" w:type="dxa"/>
              <w:bottom w:w="0" w:type="dxa"/>
              <w:right w:w="40" w:type="dxa"/>
            </w:tcMar>
            <w:vAlign w:val="center"/>
          </w:tcPr>
          <w:p w14:paraId="3F18FD19" w14:textId="77777777" w:rsidR="00D11CE4" w:rsidRPr="005609D4" w:rsidRDefault="00D11CE4" w:rsidP="00CF11F0">
            <w:pPr>
              <w:widowControl w:val="0"/>
              <w:jc w:val="center"/>
              <w:rPr>
                <w:rFonts w:ascii="Calibri" w:hAnsi="Calibri" w:cs="Calibri"/>
                <w:sz w:val="22"/>
                <w:szCs w:val="22"/>
              </w:rPr>
            </w:pPr>
          </w:p>
        </w:tc>
      </w:tr>
      <w:tr w:rsidR="00D11CE4" w:rsidRPr="005609D4" w14:paraId="22989099" w14:textId="77777777" w:rsidTr="00CF11F0">
        <w:trPr>
          <w:trHeight w:val="90"/>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244C4DA5"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10.  Relational - Institution &amp; Community</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1E4B7D46"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10.1.  Institutional collaborations with community and industry</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5111A11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2C5E1E8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31C6618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5FEF60E4" w14:textId="77777777" w:rsidTr="00CF11F0">
        <w:trPr>
          <w:trHeight w:val="120"/>
        </w:trPr>
        <w:tc>
          <w:tcPr>
            <w:tcW w:w="2700" w:type="dxa"/>
            <w:vMerge/>
            <w:tcBorders>
              <w:top w:val="nil"/>
              <w:left w:val="nil"/>
              <w:bottom w:val="nil"/>
              <w:right w:val="single" w:sz="4" w:space="0" w:color="FFFFFF"/>
            </w:tcBorders>
            <w:tcMar>
              <w:top w:w="0" w:type="dxa"/>
              <w:left w:w="40" w:type="dxa"/>
              <w:bottom w:w="0" w:type="dxa"/>
              <w:right w:w="40" w:type="dxa"/>
            </w:tcMar>
            <w:vAlign w:val="center"/>
          </w:tcPr>
          <w:p w14:paraId="51F01087"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01B6E7CF"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10.2.  Showcase graduates and institutional reputation</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60E79EBA"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30C13E0F"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007692E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.3%</w:t>
            </w:r>
          </w:p>
        </w:tc>
      </w:tr>
      <w:tr w:rsidR="00D11CE4" w:rsidRPr="005609D4" w14:paraId="12DF175D" w14:textId="77777777" w:rsidTr="00CF11F0">
        <w:trPr>
          <w:trHeight w:val="300"/>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7D650004"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26BE820E"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10.3.  Institutional Innovation or Economic Impact on sector or local community</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75901C7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349FEE3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7682CC28"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r>
      <w:tr w:rsidR="00D11CE4" w:rsidRPr="005609D4" w14:paraId="6B28238A" w14:textId="77777777" w:rsidTr="00CF11F0">
        <w:trPr>
          <w:trHeight w:val="180"/>
        </w:trPr>
        <w:tc>
          <w:tcPr>
            <w:tcW w:w="2700" w:type="dxa"/>
            <w:tcBorders>
              <w:top w:val="nil"/>
              <w:left w:val="nil"/>
              <w:bottom w:val="single" w:sz="4" w:space="0" w:color="000000"/>
              <w:right w:val="nil"/>
            </w:tcBorders>
            <w:tcMar>
              <w:top w:w="0" w:type="dxa"/>
              <w:left w:w="40" w:type="dxa"/>
              <w:bottom w:w="0" w:type="dxa"/>
              <w:right w:w="40" w:type="dxa"/>
            </w:tcMar>
            <w:vAlign w:val="center"/>
          </w:tcPr>
          <w:p w14:paraId="139015F1"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10.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19A67926"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22825BEE"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8%</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7E0D8AFB"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4%</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6899B0FF"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4%</w:t>
            </w:r>
          </w:p>
        </w:tc>
      </w:tr>
      <w:tr w:rsidR="00D11CE4" w:rsidRPr="005609D4" w14:paraId="2CFD7B76" w14:textId="77777777" w:rsidTr="00CF11F0">
        <w:trPr>
          <w:trHeight w:val="270"/>
        </w:trPr>
        <w:tc>
          <w:tcPr>
            <w:tcW w:w="2700" w:type="dxa"/>
            <w:vMerge w:val="restart"/>
            <w:tcBorders>
              <w:top w:val="single" w:sz="4" w:space="0" w:color="000000"/>
              <w:left w:val="nil"/>
              <w:bottom w:val="nil"/>
              <w:right w:val="single" w:sz="4" w:space="0" w:color="FFFFFF"/>
            </w:tcBorders>
            <w:tcMar>
              <w:top w:w="0" w:type="dxa"/>
              <w:left w:w="40" w:type="dxa"/>
              <w:bottom w:w="0" w:type="dxa"/>
              <w:right w:w="40" w:type="dxa"/>
            </w:tcMar>
            <w:vAlign w:val="center"/>
          </w:tcPr>
          <w:p w14:paraId="7DE85D77"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11.  Organizations' Benefiting</w:t>
            </w: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565693A4"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11.1.  Organization tangible benefit during experience</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526AECB1"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B0734A4"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0E7B5877"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7B86FF0D" w14:textId="77777777" w:rsidTr="00CF11F0">
        <w:trPr>
          <w:trHeight w:val="270"/>
        </w:trPr>
        <w:tc>
          <w:tcPr>
            <w:tcW w:w="2700" w:type="dxa"/>
            <w:vMerge/>
            <w:tcBorders>
              <w:top w:val="single" w:sz="4" w:space="0" w:color="000000"/>
              <w:left w:val="nil"/>
              <w:bottom w:val="nil"/>
              <w:right w:val="single" w:sz="4" w:space="0" w:color="FFFFFF"/>
            </w:tcBorders>
            <w:tcMar>
              <w:top w:w="0" w:type="dxa"/>
              <w:left w:w="40" w:type="dxa"/>
              <w:bottom w:w="0" w:type="dxa"/>
              <w:right w:w="40" w:type="dxa"/>
            </w:tcMar>
            <w:vAlign w:val="center"/>
          </w:tcPr>
          <w:p w14:paraId="13763A7B" w14:textId="77777777" w:rsidR="00D11CE4" w:rsidRPr="005609D4" w:rsidRDefault="00D11CE4" w:rsidP="00CF11F0">
            <w:pPr>
              <w:widowControl w:val="0"/>
              <w:rPr>
                <w:rFonts w:ascii="Calibri" w:hAnsi="Calibri" w:cs="Calibri"/>
                <w:sz w:val="22"/>
                <w:szCs w:val="22"/>
              </w:rPr>
            </w:pPr>
          </w:p>
        </w:tc>
        <w:tc>
          <w:tcPr>
            <w:tcW w:w="5655" w:type="dxa"/>
            <w:tcBorders>
              <w:top w:val="single" w:sz="4" w:space="0" w:color="000000"/>
              <w:left w:val="nil"/>
              <w:bottom w:val="single" w:sz="4" w:space="0" w:color="FFFFFF"/>
              <w:right w:val="nil"/>
            </w:tcBorders>
            <w:tcMar>
              <w:top w:w="0" w:type="dxa"/>
              <w:left w:w="0" w:type="dxa"/>
              <w:bottom w:w="0" w:type="dxa"/>
              <w:right w:w="0" w:type="dxa"/>
            </w:tcMar>
            <w:vAlign w:val="center"/>
          </w:tcPr>
          <w:p w14:paraId="39AE47A4"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11.2.  Organization tangible benefit during experience</w:t>
            </w:r>
          </w:p>
        </w:tc>
        <w:tc>
          <w:tcPr>
            <w:tcW w:w="66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6DFF38F0"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0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733851A3"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tcBorders>
              <w:top w:val="single" w:sz="4" w:space="0" w:color="000000"/>
              <w:left w:val="nil"/>
              <w:bottom w:val="single" w:sz="4" w:space="0" w:color="FFFFFF"/>
              <w:right w:val="nil"/>
            </w:tcBorders>
            <w:tcMar>
              <w:top w:w="0" w:type="dxa"/>
              <w:left w:w="40" w:type="dxa"/>
              <w:bottom w:w="0" w:type="dxa"/>
              <w:right w:w="40" w:type="dxa"/>
            </w:tcMar>
            <w:vAlign w:val="center"/>
          </w:tcPr>
          <w:p w14:paraId="52A0BD3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3E3C6D54" w14:textId="77777777" w:rsidTr="00CF11F0">
        <w:trPr>
          <w:trHeight w:val="300"/>
        </w:trPr>
        <w:tc>
          <w:tcPr>
            <w:tcW w:w="2700" w:type="dxa"/>
            <w:vMerge/>
            <w:tcBorders>
              <w:top w:val="nil"/>
              <w:left w:val="nil"/>
              <w:bottom w:val="single" w:sz="4" w:space="0" w:color="FFFFFF"/>
              <w:right w:val="single" w:sz="4" w:space="0" w:color="FFFFFF"/>
            </w:tcBorders>
            <w:tcMar>
              <w:top w:w="0" w:type="dxa"/>
              <w:left w:w="40" w:type="dxa"/>
              <w:bottom w:w="0" w:type="dxa"/>
              <w:right w:w="40" w:type="dxa"/>
            </w:tcMar>
            <w:vAlign w:val="center"/>
          </w:tcPr>
          <w:p w14:paraId="04F39867" w14:textId="77777777" w:rsidR="00D11CE4" w:rsidRPr="005609D4" w:rsidRDefault="00D11CE4" w:rsidP="00CF11F0">
            <w:pPr>
              <w:widowControl w:val="0"/>
              <w:rPr>
                <w:rFonts w:ascii="Calibri" w:hAnsi="Calibri" w:cs="Calibri"/>
                <w:sz w:val="22"/>
                <w:szCs w:val="22"/>
              </w:rPr>
            </w:pPr>
          </w:p>
        </w:tc>
        <w:tc>
          <w:tcPr>
            <w:tcW w:w="5655" w:type="dxa"/>
            <w:tcBorders>
              <w:top w:val="nil"/>
              <w:left w:val="nil"/>
              <w:bottom w:val="single" w:sz="4" w:space="0" w:color="FFFFFF"/>
              <w:right w:val="nil"/>
            </w:tcBorders>
            <w:tcMar>
              <w:top w:w="0" w:type="dxa"/>
              <w:left w:w="0" w:type="dxa"/>
              <w:bottom w:w="0" w:type="dxa"/>
              <w:right w:w="0" w:type="dxa"/>
            </w:tcMar>
            <w:vAlign w:val="center"/>
          </w:tcPr>
          <w:p w14:paraId="102A5281"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11.3.  Organizations long term benefit of attracting, recruitment and gaining experienced/skilled employees/members (pipeline)</w:t>
            </w:r>
          </w:p>
        </w:tc>
        <w:tc>
          <w:tcPr>
            <w:tcW w:w="660" w:type="dxa"/>
            <w:tcBorders>
              <w:top w:val="nil"/>
              <w:left w:val="nil"/>
              <w:bottom w:val="single" w:sz="4" w:space="0" w:color="FFFFFF"/>
              <w:right w:val="nil"/>
            </w:tcBorders>
            <w:tcMar>
              <w:top w:w="0" w:type="dxa"/>
              <w:left w:w="40" w:type="dxa"/>
              <w:bottom w:w="0" w:type="dxa"/>
              <w:right w:w="40" w:type="dxa"/>
            </w:tcMar>
            <w:vAlign w:val="center"/>
          </w:tcPr>
          <w:p w14:paraId="42ABE359"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00" w:type="dxa"/>
            <w:tcBorders>
              <w:top w:val="nil"/>
              <w:left w:val="nil"/>
              <w:bottom w:val="single" w:sz="4" w:space="0" w:color="FFFFFF"/>
              <w:right w:val="nil"/>
            </w:tcBorders>
            <w:tcMar>
              <w:top w:w="0" w:type="dxa"/>
              <w:left w:w="40" w:type="dxa"/>
              <w:bottom w:w="0" w:type="dxa"/>
              <w:right w:w="40" w:type="dxa"/>
            </w:tcMar>
            <w:vAlign w:val="center"/>
          </w:tcPr>
          <w:p w14:paraId="573DA7EB"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c>
          <w:tcPr>
            <w:tcW w:w="690" w:type="dxa"/>
            <w:tcBorders>
              <w:top w:val="nil"/>
              <w:left w:val="nil"/>
              <w:bottom w:val="single" w:sz="4" w:space="0" w:color="FFFFFF"/>
              <w:right w:val="nil"/>
            </w:tcBorders>
            <w:tcMar>
              <w:top w:w="0" w:type="dxa"/>
              <w:left w:w="40" w:type="dxa"/>
              <w:bottom w:w="0" w:type="dxa"/>
              <w:right w:w="40" w:type="dxa"/>
            </w:tcMar>
            <w:vAlign w:val="center"/>
          </w:tcPr>
          <w:p w14:paraId="735FD35C"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7F3143FA" w14:textId="77777777" w:rsidTr="00CF11F0">
        <w:trPr>
          <w:trHeight w:val="225"/>
        </w:trPr>
        <w:tc>
          <w:tcPr>
            <w:tcW w:w="2700" w:type="dxa"/>
            <w:tcBorders>
              <w:top w:val="nil"/>
              <w:left w:val="nil"/>
              <w:bottom w:val="single" w:sz="4" w:space="0" w:color="000000"/>
              <w:right w:val="nil"/>
            </w:tcBorders>
            <w:tcMar>
              <w:top w:w="0" w:type="dxa"/>
              <w:left w:w="40" w:type="dxa"/>
              <w:bottom w:w="0" w:type="dxa"/>
              <w:right w:w="40" w:type="dxa"/>
            </w:tcMar>
            <w:vAlign w:val="center"/>
          </w:tcPr>
          <w:p w14:paraId="2F3B0190"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11.  Sub-total</w:t>
            </w:r>
          </w:p>
        </w:tc>
        <w:tc>
          <w:tcPr>
            <w:tcW w:w="5655" w:type="dxa"/>
            <w:tcBorders>
              <w:top w:val="nil"/>
              <w:left w:val="nil"/>
              <w:bottom w:val="single" w:sz="4" w:space="0" w:color="000000"/>
              <w:right w:val="nil"/>
            </w:tcBorders>
            <w:tcMar>
              <w:top w:w="0" w:type="dxa"/>
              <w:left w:w="40" w:type="dxa"/>
              <w:bottom w:w="0" w:type="dxa"/>
              <w:right w:w="40" w:type="dxa"/>
            </w:tcMar>
            <w:vAlign w:val="center"/>
          </w:tcPr>
          <w:p w14:paraId="05B7C72F" w14:textId="77777777" w:rsidR="00D11CE4" w:rsidRPr="005609D4" w:rsidRDefault="00D11CE4" w:rsidP="00CF11F0">
            <w:pPr>
              <w:widowControl w:val="0"/>
              <w:rPr>
                <w:rFonts w:ascii="Calibri" w:hAnsi="Calibri" w:cs="Calibri"/>
                <w:b/>
                <w:bCs/>
                <w:sz w:val="22"/>
                <w:szCs w:val="22"/>
              </w:rPr>
            </w:pPr>
          </w:p>
        </w:tc>
        <w:tc>
          <w:tcPr>
            <w:tcW w:w="660" w:type="dxa"/>
            <w:tcBorders>
              <w:top w:val="nil"/>
              <w:left w:val="nil"/>
              <w:bottom w:val="single" w:sz="4" w:space="0" w:color="000000"/>
              <w:right w:val="nil"/>
            </w:tcBorders>
            <w:tcMar>
              <w:top w:w="0" w:type="dxa"/>
              <w:left w:w="40" w:type="dxa"/>
              <w:bottom w:w="0" w:type="dxa"/>
              <w:right w:w="40" w:type="dxa"/>
            </w:tcMar>
            <w:vAlign w:val="center"/>
          </w:tcPr>
          <w:p w14:paraId="76610FB1"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3%</w:t>
            </w:r>
          </w:p>
        </w:tc>
        <w:tc>
          <w:tcPr>
            <w:tcW w:w="600" w:type="dxa"/>
            <w:tcBorders>
              <w:top w:val="nil"/>
              <w:left w:val="nil"/>
              <w:bottom w:val="single" w:sz="4" w:space="0" w:color="000000"/>
              <w:right w:val="nil"/>
            </w:tcBorders>
            <w:tcMar>
              <w:top w:w="0" w:type="dxa"/>
              <w:left w:w="40" w:type="dxa"/>
              <w:bottom w:w="0" w:type="dxa"/>
              <w:right w:w="40" w:type="dxa"/>
            </w:tcMar>
            <w:vAlign w:val="center"/>
          </w:tcPr>
          <w:p w14:paraId="04A3ED4B"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w:t>
            </w:r>
          </w:p>
        </w:tc>
        <w:tc>
          <w:tcPr>
            <w:tcW w:w="690" w:type="dxa"/>
            <w:tcBorders>
              <w:top w:val="nil"/>
              <w:left w:val="nil"/>
              <w:bottom w:val="single" w:sz="4" w:space="0" w:color="000000"/>
              <w:right w:val="nil"/>
            </w:tcBorders>
            <w:tcMar>
              <w:top w:w="0" w:type="dxa"/>
              <w:left w:w="40" w:type="dxa"/>
              <w:bottom w:w="0" w:type="dxa"/>
              <w:right w:w="40" w:type="dxa"/>
            </w:tcMar>
            <w:vAlign w:val="center"/>
          </w:tcPr>
          <w:p w14:paraId="1FD3109E"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3%</w:t>
            </w:r>
          </w:p>
        </w:tc>
      </w:tr>
      <w:tr w:rsidR="00D11CE4" w:rsidRPr="005609D4" w14:paraId="7733A9B9" w14:textId="77777777" w:rsidTr="00CF11F0">
        <w:trPr>
          <w:trHeight w:val="240"/>
        </w:trPr>
        <w:tc>
          <w:tcPr>
            <w:tcW w:w="8355" w:type="dxa"/>
            <w:gridSpan w:val="2"/>
            <w:tcBorders>
              <w:top w:val="single" w:sz="4" w:space="0" w:color="000000"/>
              <w:left w:val="nil"/>
              <w:bottom w:val="single" w:sz="4" w:space="0" w:color="000000"/>
              <w:right w:val="single" w:sz="4" w:space="0" w:color="FFFFFF"/>
            </w:tcBorders>
            <w:tcMar>
              <w:top w:w="0" w:type="dxa"/>
              <w:left w:w="40" w:type="dxa"/>
              <w:bottom w:w="0" w:type="dxa"/>
              <w:right w:w="40" w:type="dxa"/>
            </w:tcMar>
            <w:vAlign w:val="bottom"/>
          </w:tcPr>
          <w:p w14:paraId="2009D212" w14:textId="77777777" w:rsidR="00D11CE4" w:rsidRPr="005609D4" w:rsidRDefault="00D11CE4" w:rsidP="00CF11F0">
            <w:pPr>
              <w:widowControl w:val="0"/>
              <w:rPr>
                <w:rFonts w:ascii="Calibri" w:hAnsi="Calibri" w:cs="Calibri"/>
                <w:sz w:val="22"/>
                <w:szCs w:val="22"/>
              </w:rPr>
            </w:pPr>
            <w:r w:rsidRPr="005609D4">
              <w:rPr>
                <w:rFonts w:ascii="Calibri" w:hAnsi="Calibri" w:cs="Calibri"/>
                <w:sz w:val="22"/>
                <w:szCs w:val="22"/>
              </w:rPr>
              <w:t>12.  Learn Land-based or Indigenous Ways of Knowing or Practices (see discussion)</w:t>
            </w:r>
          </w:p>
        </w:tc>
        <w:tc>
          <w:tcPr>
            <w:tcW w:w="66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33CCC6F2"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.4%</w:t>
            </w:r>
          </w:p>
        </w:tc>
        <w:tc>
          <w:tcPr>
            <w:tcW w:w="60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51F8F38D"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2%</w:t>
            </w:r>
          </w:p>
        </w:tc>
        <w:tc>
          <w:tcPr>
            <w:tcW w:w="69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56A4468E" w14:textId="77777777" w:rsidR="00D11CE4" w:rsidRPr="005609D4" w:rsidRDefault="00D11CE4" w:rsidP="00CF11F0">
            <w:pPr>
              <w:widowControl w:val="0"/>
              <w:jc w:val="center"/>
              <w:rPr>
                <w:rFonts w:ascii="Calibri" w:hAnsi="Calibri" w:cs="Calibri"/>
                <w:sz w:val="22"/>
                <w:szCs w:val="22"/>
              </w:rPr>
            </w:pPr>
            <w:r w:rsidRPr="005609D4">
              <w:rPr>
                <w:rFonts w:ascii="Calibri" w:hAnsi="Calibri" w:cs="Calibri"/>
                <w:sz w:val="22"/>
                <w:szCs w:val="22"/>
              </w:rPr>
              <w:t>1%</w:t>
            </w:r>
          </w:p>
        </w:tc>
      </w:tr>
      <w:tr w:rsidR="00D11CE4" w:rsidRPr="005609D4" w14:paraId="5C19E779" w14:textId="77777777" w:rsidTr="00CF11F0">
        <w:trPr>
          <w:trHeight w:val="300"/>
        </w:trPr>
        <w:tc>
          <w:tcPr>
            <w:tcW w:w="270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14030CE1" w14:textId="77777777" w:rsidR="00D11CE4" w:rsidRPr="005609D4" w:rsidRDefault="00D11CE4" w:rsidP="00CF11F0">
            <w:pPr>
              <w:widowControl w:val="0"/>
              <w:rPr>
                <w:rFonts w:ascii="Calibri" w:hAnsi="Calibri" w:cs="Calibri"/>
                <w:b/>
                <w:bCs/>
                <w:sz w:val="22"/>
                <w:szCs w:val="22"/>
              </w:rPr>
            </w:pPr>
            <w:r w:rsidRPr="005609D4">
              <w:rPr>
                <w:rFonts w:ascii="Calibri" w:hAnsi="Calibri" w:cs="Calibri"/>
                <w:b/>
                <w:bCs/>
                <w:sz w:val="22"/>
                <w:szCs w:val="22"/>
              </w:rPr>
              <w:t>Sample Size Total</w:t>
            </w:r>
          </w:p>
        </w:tc>
        <w:tc>
          <w:tcPr>
            <w:tcW w:w="5655" w:type="dxa"/>
            <w:tcBorders>
              <w:top w:val="single" w:sz="4" w:space="0" w:color="000000"/>
              <w:left w:val="nil"/>
              <w:bottom w:val="single" w:sz="4" w:space="0" w:color="000000"/>
              <w:right w:val="nil"/>
            </w:tcBorders>
            <w:tcMar>
              <w:top w:w="0" w:type="dxa"/>
              <w:left w:w="40" w:type="dxa"/>
              <w:bottom w:w="0" w:type="dxa"/>
              <w:right w:w="40" w:type="dxa"/>
            </w:tcMar>
            <w:vAlign w:val="bottom"/>
          </w:tcPr>
          <w:p w14:paraId="5411D227" w14:textId="77777777" w:rsidR="00D11CE4" w:rsidRPr="005609D4" w:rsidRDefault="00D11CE4" w:rsidP="00CF11F0">
            <w:pPr>
              <w:widowControl w:val="0"/>
              <w:rPr>
                <w:rFonts w:ascii="Calibri" w:hAnsi="Calibri" w:cs="Calibri"/>
                <w:b/>
                <w:bCs/>
                <w:sz w:val="22"/>
                <w:szCs w:val="22"/>
              </w:rPr>
            </w:pPr>
          </w:p>
        </w:tc>
        <w:tc>
          <w:tcPr>
            <w:tcW w:w="66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4AB807C5"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257</w:t>
            </w:r>
          </w:p>
        </w:tc>
        <w:tc>
          <w:tcPr>
            <w:tcW w:w="60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110EF619"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2817</w:t>
            </w:r>
          </w:p>
        </w:tc>
        <w:tc>
          <w:tcPr>
            <w:tcW w:w="690" w:type="dxa"/>
            <w:tcBorders>
              <w:top w:val="single" w:sz="4" w:space="0" w:color="000000"/>
              <w:left w:val="nil"/>
              <w:bottom w:val="single" w:sz="4" w:space="0" w:color="000000"/>
              <w:right w:val="nil"/>
            </w:tcBorders>
            <w:tcMar>
              <w:top w:w="0" w:type="dxa"/>
              <w:left w:w="40" w:type="dxa"/>
              <w:bottom w:w="0" w:type="dxa"/>
              <w:right w:w="40" w:type="dxa"/>
            </w:tcMar>
            <w:vAlign w:val="center"/>
          </w:tcPr>
          <w:p w14:paraId="0603D548" w14:textId="77777777" w:rsidR="00D11CE4" w:rsidRPr="005609D4" w:rsidRDefault="00D11CE4" w:rsidP="00CF11F0">
            <w:pPr>
              <w:widowControl w:val="0"/>
              <w:jc w:val="center"/>
              <w:rPr>
                <w:rFonts w:ascii="Calibri" w:hAnsi="Calibri" w:cs="Calibri"/>
                <w:b/>
                <w:bCs/>
                <w:sz w:val="22"/>
                <w:szCs w:val="22"/>
              </w:rPr>
            </w:pPr>
            <w:r w:rsidRPr="005609D4">
              <w:rPr>
                <w:rFonts w:ascii="Calibri" w:hAnsi="Calibri" w:cs="Calibri"/>
                <w:b/>
                <w:bCs/>
                <w:sz w:val="22"/>
                <w:szCs w:val="22"/>
              </w:rPr>
              <w:t>3074</w:t>
            </w:r>
          </w:p>
        </w:tc>
      </w:tr>
    </w:tbl>
    <w:p w14:paraId="7A3A1B9B" w14:textId="77777777" w:rsidR="00D11CE4" w:rsidRPr="005609D4" w:rsidRDefault="00D11CE4" w:rsidP="00D11CE4">
      <w:pPr>
        <w:spacing w:line="480" w:lineRule="auto"/>
        <w:rPr>
          <w:rFonts w:ascii="Calibri" w:hAnsi="Calibri" w:cs="Calibri"/>
          <w:b/>
          <w:bCs/>
          <w:sz w:val="22"/>
          <w:szCs w:val="22"/>
          <w:lang w:val="en-US"/>
        </w:rPr>
      </w:pPr>
    </w:p>
    <w:p w14:paraId="57F5950C" w14:textId="77777777" w:rsidR="00D11CE4" w:rsidRPr="005609D4" w:rsidRDefault="00D11CE4" w:rsidP="00D11CE4">
      <w:pPr>
        <w:spacing w:line="480" w:lineRule="auto"/>
        <w:jc w:val="center"/>
        <w:rPr>
          <w:rFonts w:ascii="Calibri" w:hAnsi="Calibri" w:cs="Calibri"/>
          <w:b/>
          <w:bCs/>
          <w:sz w:val="22"/>
          <w:szCs w:val="22"/>
          <w:lang w:val="en-US"/>
        </w:rPr>
      </w:pPr>
    </w:p>
    <w:p w14:paraId="5CEE8990" w14:textId="2241F8E1" w:rsidR="00A01A6F" w:rsidRPr="005609D4" w:rsidRDefault="00A01A6F" w:rsidP="00D11CE4">
      <w:pPr>
        <w:spacing w:line="480" w:lineRule="auto"/>
        <w:jc w:val="center"/>
        <w:rPr>
          <w:rFonts w:ascii="Calibri" w:hAnsi="Calibri" w:cs="Calibri"/>
          <w:b/>
          <w:bCs/>
          <w:sz w:val="22"/>
          <w:szCs w:val="22"/>
          <w:lang w:val="en-US"/>
        </w:rPr>
      </w:pPr>
      <w:r w:rsidRPr="005609D4">
        <w:rPr>
          <w:rFonts w:ascii="Calibri" w:hAnsi="Calibri" w:cs="Calibri"/>
          <w:b/>
          <w:bCs/>
          <w:sz w:val="22"/>
          <w:szCs w:val="22"/>
          <w:lang w:val="en-US"/>
        </w:rPr>
        <w:t>Bibliographical References</w:t>
      </w:r>
    </w:p>
    <w:p w14:paraId="5D49AC76"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Crocker, B., Hall, C., &amp; Janzen, R.  (2024, March 7).  </w:t>
      </w:r>
      <w:r w:rsidRPr="005609D4">
        <w:rPr>
          <w:rFonts w:ascii="Calibri" w:hAnsi="Calibri" w:cs="Calibri"/>
          <w:i/>
          <w:iCs/>
          <w:sz w:val="22"/>
          <w:szCs w:val="22"/>
        </w:rPr>
        <w:t xml:space="preserve">Careers, growth, and knowledge: The </w:t>
      </w:r>
    </w:p>
    <w:p w14:paraId="0D9D416E" w14:textId="6E6A1749"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i/>
          <w:iCs/>
          <w:sz w:val="22"/>
          <w:szCs w:val="22"/>
        </w:rPr>
        <w:t>leading motivations to attend higher education in 2023.</w:t>
      </w:r>
      <w:r w:rsidRPr="005609D4">
        <w:rPr>
          <w:rFonts w:ascii="Calibri" w:hAnsi="Calibri" w:cs="Calibri"/>
          <w:sz w:val="22"/>
          <w:szCs w:val="22"/>
        </w:rPr>
        <w:t>Academia Forum.  https://forum.academica.ca/forum/careers-growth-and-knowledge-the-leading-motivations-for-applicants-in-2023</w:t>
      </w:r>
    </w:p>
    <w:p w14:paraId="2CCD7506"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De </w:t>
      </w:r>
      <w:proofErr w:type="spellStart"/>
      <w:r w:rsidRPr="005609D4">
        <w:rPr>
          <w:rFonts w:ascii="Calibri" w:hAnsi="Calibri" w:cs="Calibri"/>
          <w:sz w:val="22"/>
          <w:szCs w:val="22"/>
        </w:rPr>
        <w:t>Raaf</w:t>
      </w:r>
      <w:proofErr w:type="spellEnd"/>
      <w:r w:rsidRPr="005609D4">
        <w:rPr>
          <w:rFonts w:ascii="Calibri" w:hAnsi="Calibri" w:cs="Calibri"/>
          <w:sz w:val="22"/>
          <w:szCs w:val="22"/>
        </w:rPr>
        <w:t xml:space="preserve">, S., Holroyd, H., &amp; </w:t>
      </w:r>
      <w:proofErr w:type="spellStart"/>
      <w:r w:rsidRPr="005609D4">
        <w:rPr>
          <w:rFonts w:ascii="Calibri" w:hAnsi="Calibri" w:cs="Calibri"/>
          <w:sz w:val="22"/>
          <w:szCs w:val="22"/>
        </w:rPr>
        <w:t>Wannell</w:t>
      </w:r>
      <w:proofErr w:type="spellEnd"/>
      <w:r w:rsidRPr="005609D4">
        <w:rPr>
          <w:rFonts w:ascii="Calibri" w:hAnsi="Calibri" w:cs="Calibri"/>
          <w:sz w:val="22"/>
          <w:szCs w:val="22"/>
        </w:rPr>
        <w:t xml:space="preserve">, T.  (2018).  </w:t>
      </w:r>
      <w:r w:rsidRPr="005609D4">
        <w:rPr>
          <w:rFonts w:ascii="Calibri" w:hAnsi="Calibri" w:cs="Calibri"/>
          <w:i/>
          <w:iCs/>
          <w:sz w:val="22"/>
          <w:szCs w:val="22"/>
        </w:rPr>
        <w:t xml:space="preserve">The business case for work-integrated learning </w:t>
      </w:r>
    </w:p>
    <w:p w14:paraId="0D152189" w14:textId="08CD3C2F"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i/>
          <w:iCs/>
          <w:sz w:val="22"/>
          <w:szCs w:val="22"/>
        </w:rPr>
        <w:t xml:space="preserve">in mining.  </w:t>
      </w:r>
      <w:r w:rsidRPr="005609D4">
        <w:rPr>
          <w:rFonts w:ascii="Calibri" w:hAnsi="Calibri" w:cs="Calibri"/>
          <w:sz w:val="22"/>
          <w:szCs w:val="22"/>
        </w:rPr>
        <w:t xml:space="preserve">Mining Industry Human Resources Council. </w:t>
      </w:r>
      <w:r w:rsidR="00F57D7B" w:rsidRPr="005609D4">
        <w:rPr>
          <w:rFonts w:ascii="Calibri" w:hAnsi="Calibri" w:cs="Calibri"/>
          <w:color w:val="1155CC"/>
          <w:sz w:val="22"/>
          <w:szCs w:val="22"/>
          <w:u w:val="single"/>
        </w:rPr>
        <w:fldChar w:fldCharType="begin"/>
      </w:r>
      <w:r w:rsidR="00F57D7B" w:rsidRPr="005609D4">
        <w:rPr>
          <w:rFonts w:ascii="Calibri" w:hAnsi="Calibri" w:cs="Calibri"/>
          <w:color w:val="1155CC"/>
          <w:sz w:val="22"/>
          <w:szCs w:val="22"/>
          <w:u w:val="single"/>
        </w:rPr>
        <w:instrText>HYPERLINK "</w:instrText>
      </w:r>
      <w:r w:rsidR="00F57D7B" w:rsidRPr="005609D4">
        <w:rPr>
          <w:rFonts w:ascii="Calibri" w:hAnsi="Calibri" w:cs="Calibri"/>
          <w:color w:val="1155CC"/>
          <w:sz w:val="22"/>
          <w:szCs w:val="22"/>
          <w:u w:val="single"/>
        </w:rPr>
        <w:instrText>https://mihr.ca/wpcontent/uploads/2020/03/MiHR-WIL-Business-Case_FINAL-SWPP-edit-</w:instrText>
      </w:r>
      <w:r w:rsidR="00F57D7B" w:rsidRPr="005609D4">
        <w:rPr>
          <w:rFonts w:ascii="Calibri" w:hAnsi="Calibri" w:cs="Calibri"/>
          <w:sz w:val="22"/>
          <w:szCs w:val="22"/>
        </w:rPr>
        <w:instrText>Oct2019.pdf</w:instrText>
      </w:r>
      <w:r w:rsidR="00F57D7B" w:rsidRPr="005609D4">
        <w:rPr>
          <w:rFonts w:ascii="Calibri" w:hAnsi="Calibri" w:cs="Calibri"/>
          <w:color w:val="1155CC"/>
          <w:sz w:val="22"/>
          <w:szCs w:val="22"/>
          <w:u w:val="single"/>
        </w:rPr>
        <w:instrText>"</w:instrText>
      </w:r>
      <w:r w:rsidR="00F57D7B" w:rsidRPr="005609D4">
        <w:rPr>
          <w:rFonts w:ascii="Calibri" w:hAnsi="Calibri" w:cs="Calibri"/>
          <w:color w:val="1155CC"/>
          <w:sz w:val="22"/>
          <w:szCs w:val="22"/>
          <w:u w:val="single"/>
        </w:rPr>
        <w:fldChar w:fldCharType="separate"/>
      </w:r>
      <w:r w:rsidR="00F57D7B" w:rsidRPr="005609D4">
        <w:rPr>
          <w:rStyle w:val="Hyperlink"/>
          <w:rFonts w:ascii="Calibri" w:hAnsi="Calibri" w:cs="Calibri"/>
          <w:sz w:val="22"/>
          <w:szCs w:val="22"/>
        </w:rPr>
        <w:t>https://mihr.ca/wpcontent/uploads/2020/03/MiHR-WIL-Business-Case_FINAL-SWPP-edit-</w:t>
      </w:r>
      <w:r w:rsidR="00F57D7B" w:rsidRPr="005609D4">
        <w:rPr>
          <w:rStyle w:val="Hyperlink"/>
          <w:rFonts w:ascii="Calibri" w:hAnsi="Calibri" w:cs="Calibri"/>
          <w:sz w:val="22"/>
          <w:szCs w:val="22"/>
        </w:rPr>
        <w:t>Oct2019.pdf</w:t>
      </w:r>
      <w:r w:rsidR="00F57D7B" w:rsidRPr="005609D4">
        <w:rPr>
          <w:rFonts w:ascii="Calibri" w:hAnsi="Calibri" w:cs="Calibri"/>
          <w:color w:val="1155CC"/>
          <w:sz w:val="22"/>
          <w:szCs w:val="22"/>
          <w:u w:val="single"/>
        </w:rPr>
        <w:fldChar w:fldCharType="end"/>
      </w:r>
    </w:p>
    <w:p w14:paraId="10C72259" w14:textId="77777777" w:rsidR="00F57D7B" w:rsidRPr="005609D4" w:rsidRDefault="002D748A" w:rsidP="00F57D7B">
      <w:pPr>
        <w:spacing w:line="480" w:lineRule="auto"/>
        <w:rPr>
          <w:rFonts w:ascii="Calibri" w:hAnsi="Calibri" w:cs="Calibri"/>
          <w:sz w:val="22"/>
          <w:szCs w:val="22"/>
        </w:rPr>
      </w:pPr>
      <w:proofErr w:type="spellStart"/>
      <w:r w:rsidRPr="005609D4">
        <w:rPr>
          <w:rFonts w:ascii="Calibri" w:hAnsi="Calibri" w:cs="Calibri"/>
          <w:sz w:val="22"/>
          <w:szCs w:val="22"/>
        </w:rPr>
        <w:t>Dreesha</w:t>
      </w:r>
      <w:proofErr w:type="spellEnd"/>
      <w:r w:rsidRPr="005609D4">
        <w:rPr>
          <w:rFonts w:ascii="Calibri" w:hAnsi="Calibri" w:cs="Calibri"/>
          <w:sz w:val="22"/>
          <w:szCs w:val="22"/>
        </w:rPr>
        <w:t xml:space="preserve">, M., Lacroix, E., Pizarro </w:t>
      </w:r>
      <w:proofErr w:type="spellStart"/>
      <w:r w:rsidRPr="005609D4">
        <w:rPr>
          <w:rFonts w:ascii="Calibri" w:hAnsi="Calibri" w:cs="Calibri"/>
          <w:sz w:val="22"/>
          <w:szCs w:val="22"/>
        </w:rPr>
        <w:t>Milian</w:t>
      </w:r>
      <w:proofErr w:type="spellEnd"/>
      <w:r w:rsidRPr="005609D4">
        <w:rPr>
          <w:rFonts w:ascii="Calibri" w:hAnsi="Calibri" w:cs="Calibri"/>
          <w:sz w:val="22"/>
          <w:szCs w:val="22"/>
        </w:rPr>
        <w:t xml:space="preserve">, R., &amp; Seward B.  (2025).  Gender-based disparities in </w:t>
      </w:r>
    </w:p>
    <w:p w14:paraId="4E401D9B" w14:textId="448A82C2"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t xml:space="preserve">co-op participation: A view from Canada.  </w:t>
      </w:r>
      <w:r w:rsidRPr="005609D4">
        <w:rPr>
          <w:rFonts w:ascii="Calibri" w:hAnsi="Calibri" w:cs="Calibri"/>
          <w:i/>
          <w:iCs/>
          <w:sz w:val="22"/>
          <w:szCs w:val="22"/>
        </w:rPr>
        <w:t>International Journal of Work-Integrated Learning, 26</w:t>
      </w:r>
      <w:r w:rsidRPr="005609D4">
        <w:rPr>
          <w:rFonts w:ascii="Calibri" w:hAnsi="Calibri" w:cs="Calibri"/>
          <w:sz w:val="22"/>
          <w:szCs w:val="22"/>
        </w:rPr>
        <w:t>(4), 753–769.</w:t>
      </w:r>
    </w:p>
    <w:p w14:paraId="3C699B05" w14:textId="05326B37" w:rsidR="002D748A" w:rsidRPr="005609D4" w:rsidRDefault="002D748A" w:rsidP="00F57D7B">
      <w:pPr>
        <w:spacing w:line="480" w:lineRule="auto"/>
        <w:rPr>
          <w:rFonts w:ascii="Calibri" w:hAnsi="Calibri" w:cs="Calibri"/>
          <w:sz w:val="22"/>
          <w:szCs w:val="22"/>
        </w:rPr>
      </w:pPr>
      <w:proofErr w:type="spellStart"/>
      <w:r w:rsidRPr="005609D4">
        <w:rPr>
          <w:rFonts w:ascii="Calibri" w:hAnsi="Calibri" w:cs="Calibri"/>
          <w:sz w:val="22"/>
          <w:szCs w:val="22"/>
        </w:rPr>
        <w:t>Drewery</w:t>
      </w:r>
      <w:proofErr w:type="spellEnd"/>
      <w:r w:rsidRPr="005609D4">
        <w:rPr>
          <w:rFonts w:ascii="Calibri" w:hAnsi="Calibri" w:cs="Calibri"/>
          <w:sz w:val="22"/>
          <w:szCs w:val="22"/>
        </w:rPr>
        <w:t>, D.  (2025).  2024 data report CEWIL Canada.  CEWIL Canada.</w:t>
      </w:r>
    </w:p>
    <w:p w14:paraId="7C3248B6" w14:textId="2F45F37D" w:rsidR="002D748A" w:rsidRPr="005609D4" w:rsidRDefault="002D748A" w:rsidP="00F57D7B">
      <w:pPr>
        <w:spacing w:line="480" w:lineRule="auto"/>
        <w:rPr>
          <w:rFonts w:ascii="Calibri" w:hAnsi="Calibri" w:cs="Calibri"/>
          <w:sz w:val="22"/>
          <w:szCs w:val="22"/>
        </w:rPr>
      </w:pPr>
      <w:proofErr w:type="spellStart"/>
      <w:r w:rsidRPr="005609D4">
        <w:rPr>
          <w:rFonts w:ascii="Calibri" w:hAnsi="Calibri" w:cs="Calibri"/>
          <w:sz w:val="22"/>
          <w:szCs w:val="22"/>
        </w:rPr>
        <w:t>Drewery</w:t>
      </w:r>
      <w:proofErr w:type="spellEnd"/>
      <w:r w:rsidRPr="005609D4">
        <w:rPr>
          <w:rFonts w:ascii="Calibri" w:hAnsi="Calibri" w:cs="Calibri"/>
          <w:sz w:val="22"/>
          <w:szCs w:val="22"/>
        </w:rPr>
        <w:t>, D.  (2023).  2022 data report CEWIL Canada.  CEWIL Canada</w:t>
      </w:r>
    </w:p>
    <w:p w14:paraId="60568344" w14:textId="77777777" w:rsidR="00F57D7B" w:rsidRPr="005609D4" w:rsidRDefault="002D748A" w:rsidP="00F57D7B">
      <w:pPr>
        <w:spacing w:line="480" w:lineRule="auto"/>
        <w:rPr>
          <w:rFonts w:ascii="Calibri" w:hAnsi="Calibri" w:cs="Calibri"/>
          <w:sz w:val="22"/>
          <w:szCs w:val="22"/>
        </w:rPr>
      </w:pPr>
      <w:proofErr w:type="spellStart"/>
      <w:r w:rsidRPr="005609D4">
        <w:rPr>
          <w:rFonts w:ascii="Calibri" w:hAnsi="Calibri" w:cs="Calibri"/>
          <w:sz w:val="22"/>
          <w:szCs w:val="22"/>
        </w:rPr>
        <w:t>Gaudry</w:t>
      </w:r>
      <w:proofErr w:type="spellEnd"/>
      <w:r w:rsidRPr="005609D4">
        <w:rPr>
          <w:rFonts w:ascii="Calibri" w:hAnsi="Calibri" w:cs="Calibri"/>
          <w:sz w:val="22"/>
          <w:szCs w:val="22"/>
        </w:rPr>
        <w:t xml:space="preserve">, A., &amp; Lorenz, D.  (2018).  “Indigenization as inclusion, reconciliation, and </w:t>
      </w:r>
    </w:p>
    <w:p w14:paraId="7EA2558C" w14:textId="17368DB7"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lastRenderedPageBreak/>
        <w:t xml:space="preserve">decolonization: Navigating the diﬀerent visions for Indigenizing the Canadian academy.” </w:t>
      </w:r>
      <w:proofErr w:type="spellStart"/>
      <w:r w:rsidRPr="005609D4">
        <w:rPr>
          <w:rFonts w:ascii="Calibri" w:hAnsi="Calibri" w:cs="Calibri"/>
          <w:i/>
          <w:iCs/>
          <w:sz w:val="22"/>
          <w:szCs w:val="22"/>
        </w:rPr>
        <w:t>AlterNative</w:t>
      </w:r>
      <w:proofErr w:type="spellEnd"/>
      <w:r w:rsidRPr="005609D4">
        <w:rPr>
          <w:rFonts w:ascii="Calibri" w:hAnsi="Calibri" w:cs="Calibri"/>
          <w:i/>
          <w:iCs/>
          <w:sz w:val="22"/>
          <w:szCs w:val="22"/>
        </w:rPr>
        <w:t>: An International Journal of Indigenous Peoples 14</w:t>
      </w:r>
      <w:r w:rsidRPr="005609D4">
        <w:rPr>
          <w:rFonts w:ascii="Calibri" w:hAnsi="Calibri" w:cs="Calibri"/>
          <w:sz w:val="22"/>
          <w:szCs w:val="22"/>
        </w:rPr>
        <w:t>(3): 218–227.  doi:10.1177/1177180118785382.</w:t>
      </w:r>
    </w:p>
    <w:p w14:paraId="44C0101A"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Godden, L., &amp; </w:t>
      </w:r>
      <w:proofErr w:type="spellStart"/>
      <w:r w:rsidRPr="005609D4">
        <w:rPr>
          <w:rFonts w:ascii="Calibri" w:hAnsi="Calibri" w:cs="Calibri"/>
          <w:sz w:val="22"/>
          <w:szCs w:val="22"/>
        </w:rPr>
        <w:t>Hoessler</w:t>
      </w:r>
      <w:proofErr w:type="spellEnd"/>
      <w:r w:rsidRPr="005609D4">
        <w:rPr>
          <w:rFonts w:ascii="Calibri" w:hAnsi="Calibri" w:cs="Calibri"/>
          <w:sz w:val="22"/>
          <w:szCs w:val="22"/>
        </w:rPr>
        <w:t>, C.  (2024).  (Re)designing for equity, access and inclusion in work-</w:t>
      </w:r>
    </w:p>
    <w:p w14:paraId="310D7883" w14:textId="1EA89746" w:rsidR="002D748A" w:rsidRPr="005609D4" w:rsidRDefault="002D748A" w:rsidP="00F57D7B">
      <w:pPr>
        <w:spacing w:line="480" w:lineRule="auto"/>
        <w:ind w:firstLine="720"/>
        <w:rPr>
          <w:rFonts w:ascii="Calibri" w:hAnsi="Calibri" w:cs="Calibri"/>
          <w:sz w:val="22"/>
          <w:szCs w:val="22"/>
        </w:rPr>
      </w:pPr>
      <w:r w:rsidRPr="005609D4">
        <w:rPr>
          <w:rFonts w:ascii="Calibri" w:hAnsi="Calibri" w:cs="Calibri"/>
          <w:sz w:val="22"/>
          <w:szCs w:val="22"/>
        </w:rPr>
        <w:t xml:space="preserve">integrated learning.  </w:t>
      </w:r>
      <w:r w:rsidRPr="005609D4">
        <w:rPr>
          <w:rFonts w:ascii="Calibri" w:hAnsi="Calibri" w:cs="Calibri"/>
          <w:i/>
          <w:iCs/>
          <w:sz w:val="22"/>
          <w:szCs w:val="22"/>
        </w:rPr>
        <w:t>International Journal of Work-Integrated Learning, 25</w:t>
      </w:r>
      <w:r w:rsidRPr="005609D4">
        <w:rPr>
          <w:rFonts w:ascii="Calibri" w:hAnsi="Calibri" w:cs="Calibri"/>
          <w:sz w:val="22"/>
          <w:szCs w:val="22"/>
        </w:rPr>
        <w:t>(1), 37–50.</w:t>
      </w:r>
    </w:p>
    <w:p w14:paraId="6CD50304" w14:textId="77777777" w:rsidR="002D748A" w:rsidRPr="005609D4" w:rsidRDefault="002D748A" w:rsidP="00F57D7B">
      <w:pPr>
        <w:spacing w:line="480" w:lineRule="auto"/>
        <w:rPr>
          <w:rFonts w:ascii="Calibri" w:hAnsi="Calibri" w:cs="Calibri"/>
          <w:sz w:val="22"/>
          <w:szCs w:val="22"/>
        </w:rPr>
      </w:pPr>
    </w:p>
    <w:p w14:paraId="2A177BC5"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Government of British Columbia.  (2025, July 7).  </w:t>
      </w:r>
      <w:r w:rsidRPr="005609D4">
        <w:rPr>
          <w:rFonts w:ascii="Calibri" w:hAnsi="Calibri" w:cs="Calibri"/>
          <w:i/>
          <w:iCs/>
          <w:sz w:val="22"/>
          <w:szCs w:val="22"/>
        </w:rPr>
        <w:t xml:space="preserve">Mandate letters – </w:t>
      </w:r>
      <w:proofErr w:type="gramStart"/>
      <w:r w:rsidRPr="005609D4">
        <w:rPr>
          <w:rFonts w:ascii="Calibri" w:hAnsi="Calibri" w:cs="Calibri"/>
          <w:i/>
          <w:iCs/>
          <w:sz w:val="22"/>
          <w:szCs w:val="22"/>
        </w:rPr>
        <w:t>Post-secondary</w:t>
      </w:r>
      <w:proofErr w:type="gramEnd"/>
      <w:r w:rsidRPr="005609D4">
        <w:rPr>
          <w:rFonts w:ascii="Calibri" w:hAnsi="Calibri" w:cs="Calibri"/>
          <w:i/>
          <w:iCs/>
          <w:sz w:val="22"/>
          <w:szCs w:val="22"/>
        </w:rPr>
        <w:t xml:space="preserve"> institutions.  </w:t>
      </w:r>
    </w:p>
    <w:p w14:paraId="46E8D037" w14:textId="6BAF04A8"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t xml:space="preserve">Government of British Columbia.  </w:t>
      </w:r>
      <w:hyperlink r:id="rId5" w:history="1">
        <w:r w:rsidR="00F57D7B" w:rsidRPr="005609D4">
          <w:rPr>
            <w:rStyle w:val="Hyperlink"/>
            <w:rFonts w:ascii="Calibri" w:hAnsi="Calibri" w:cs="Calibri"/>
            <w:sz w:val="22"/>
            <w:szCs w:val="22"/>
          </w:rPr>
          <w:t>https://www2.gov.bc.ca/gov/content/education-training/post-secondary-education/institution-resources-administration/mandate-letters</w:t>
        </w:r>
      </w:hyperlink>
    </w:p>
    <w:p w14:paraId="02D57559"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Government of Ontario.  (2020, November 26).  </w:t>
      </w:r>
      <w:r w:rsidRPr="005609D4">
        <w:rPr>
          <w:rFonts w:ascii="Calibri" w:hAnsi="Calibri" w:cs="Calibri"/>
          <w:i/>
          <w:iCs/>
          <w:sz w:val="22"/>
          <w:szCs w:val="22"/>
        </w:rPr>
        <w:t xml:space="preserve">College and university strategic mandate </w:t>
      </w:r>
    </w:p>
    <w:p w14:paraId="4F78CD88" w14:textId="6BEB230E"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i/>
          <w:iCs/>
          <w:sz w:val="22"/>
          <w:szCs w:val="22"/>
        </w:rPr>
        <w:t xml:space="preserve">agreements 2020-2025.  </w:t>
      </w:r>
      <w:r w:rsidRPr="005609D4">
        <w:rPr>
          <w:rFonts w:ascii="Calibri" w:hAnsi="Calibri" w:cs="Calibri"/>
          <w:sz w:val="22"/>
          <w:szCs w:val="22"/>
        </w:rPr>
        <w:t xml:space="preserve">King’s Printer for Ontario, 2012-26.  </w:t>
      </w:r>
      <w:hyperlink r:id="rId6" w:history="1">
        <w:r w:rsidR="00F57D7B" w:rsidRPr="005609D4">
          <w:rPr>
            <w:rStyle w:val="Hyperlink"/>
            <w:rFonts w:ascii="Calibri" w:hAnsi="Calibri" w:cs="Calibri"/>
            <w:sz w:val="22"/>
            <w:szCs w:val="22"/>
          </w:rPr>
          <w:t>https://www.ontario.ca/page/college-and-university-strategic-mandate-agreements-2020-2025</w:t>
        </w:r>
      </w:hyperlink>
    </w:p>
    <w:p w14:paraId="69CC5A87" w14:textId="77777777" w:rsidR="00F57D7B" w:rsidRPr="005609D4" w:rsidRDefault="002D748A" w:rsidP="00F57D7B">
      <w:pPr>
        <w:spacing w:line="480" w:lineRule="auto"/>
        <w:rPr>
          <w:rFonts w:ascii="Calibri" w:hAnsi="Calibri" w:cs="Calibri"/>
          <w:i/>
          <w:iCs/>
          <w:sz w:val="22"/>
          <w:szCs w:val="22"/>
        </w:rPr>
      </w:pPr>
      <w:proofErr w:type="spellStart"/>
      <w:r w:rsidRPr="005609D4">
        <w:rPr>
          <w:rFonts w:ascii="Calibri" w:hAnsi="Calibri" w:cs="Calibri"/>
          <w:sz w:val="22"/>
          <w:szCs w:val="22"/>
        </w:rPr>
        <w:t>Hoessler</w:t>
      </w:r>
      <w:proofErr w:type="spellEnd"/>
      <w:r w:rsidRPr="005609D4">
        <w:rPr>
          <w:rFonts w:ascii="Calibri" w:hAnsi="Calibri" w:cs="Calibri"/>
          <w:sz w:val="22"/>
          <w:szCs w:val="22"/>
        </w:rPr>
        <w:t xml:space="preserve">, C., &amp; Godden, L.  (2021).  </w:t>
      </w:r>
      <w:r w:rsidRPr="005609D4">
        <w:rPr>
          <w:rFonts w:ascii="Calibri" w:hAnsi="Calibri" w:cs="Calibri"/>
          <w:i/>
          <w:iCs/>
          <w:sz w:val="22"/>
          <w:szCs w:val="22"/>
        </w:rPr>
        <w:t xml:space="preserve">Outcome-based experiential learning: Let’s talk about, </w:t>
      </w:r>
    </w:p>
    <w:p w14:paraId="59F3E245" w14:textId="5FB9D7F7"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i/>
          <w:iCs/>
          <w:sz w:val="22"/>
          <w:szCs w:val="22"/>
        </w:rPr>
        <w:t>design for, and inform teaching, learning, and career development</w:t>
      </w:r>
      <w:r w:rsidRPr="005609D4">
        <w:rPr>
          <w:rFonts w:ascii="Calibri" w:hAnsi="Calibri" w:cs="Calibri"/>
          <w:sz w:val="22"/>
          <w:szCs w:val="22"/>
        </w:rPr>
        <w:t>.  Higher Education &amp; Beyond.</w:t>
      </w:r>
    </w:p>
    <w:p w14:paraId="4C6C1C52"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Hooley, T., &amp;</w:t>
      </w:r>
      <w:r w:rsidRPr="005609D4">
        <w:rPr>
          <w:rFonts w:ascii="Calibri" w:hAnsi="Calibri" w:cs="Calibri"/>
          <w:b/>
          <w:bCs/>
          <w:sz w:val="22"/>
          <w:szCs w:val="22"/>
        </w:rPr>
        <w:t xml:space="preserve"> </w:t>
      </w:r>
      <w:r w:rsidRPr="005609D4">
        <w:rPr>
          <w:rFonts w:ascii="Calibri" w:hAnsi="Calibri" w:cs="Calibri"/>
          <w:sz w:val="22"/>
          <w:szCs w:val="22"/>
        </w:rPr>
        <w:t xml:space="preserve">Godden, L.  (2021).  Theorizing career education policymaking: Watching the </w:t>
      </w:r>
    </w:p>
    <w:p w14:paraId="31F14230" w14:textId="429AABCF"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sz w:val="22"/>
          <w:szCs w:val="22"/>
        </w:rPr>
        <w:t xml:space="preserve">sausage get made.  </w:t>
      </w:r>
      <w:r w:rsidRPr="005609D4">
        <w:rPr>
          <w:rFonts w:ascii="Calibri" w:hAnsi="Calibri" w:cs="Calibri"/>
          <w:i/>
          <w:iCs/>
          <w:sz w:val="22"/>
          <w:szCs w:val="22"/>
        </w:rPr>
        <w:t>British Journal of Guidance &amp; Counselling, 50</w:t>
      </w:r>
      <w:r w:rsidRPr="005609D4">
        <w:rPr>
          <w:rFonts w:ascii="Calibri" w:hAnsi="Calibri" w:cs="Calibri"/>
          <w:sz w:val="22"/>
          <w:szCs w:val="22"/>
        </w:rPr>
        <w:t xml:space="preserve">(1), 141—156. </w:t>
      </w:r>
      <w:r w:rsidR="00F57D7B" w:rsidRPr="005609D4">
        <w:rPr>
          <w:rFonts w:ascii="Calibri" w:hAnsi="Calibri" w:cs="Calibri"/>
          <w:color w:val="1155CC"/>
          <w:sz w:val="22"/>
          <w:szCs w:val="22"/>
          <w:u w:val="single"/>
        </w:rPr>
        <w:fldChar w:fldCharType="begin"/>
      </w:r>
      <w:r w:rsidR="00F57D7B" w:rsidRPr="005609D4">
        <w:rPr>
          <w:rFonts w:ascii="Calibri" w:hAnsi="Calibri" w:cs="Calibri"/>
          <w:color w:val="1155CC"/>
          <w:sz w:val="22"/>
          <w:szCs w:val="22"/>
          <w:u w:val="single"/>
        </w:rPr>
        <w:instrText>HYPERLINK "</w:instrText>
      </w:r>
      <w:r w:rsidR="00F57D7B" w:rsidRPr="005609D4">
        <w:rPr>
          <w:rFonts w:ascii="Calibri" w:hAnsi="Calibri" w:cs="Calibri"/>
          <w:color w:val="1155CC"/>
          <w:sz w:val="22"/>
          <w:szCs w:val="22"/>
          <w:u w:val="single"/>
        </w:rPr>
        <w:instrText>https://doi.org/10.1080/03069885.2021.1948503</w:instrText>
      </w:r>
      <w:r w:rsidR="00F57D7B" w:rsidRPr="005609D4">
        <w:rPr>
          <w:rFonts w:ascii="Calibri" w:hAnsi="Calibri" w:cs="Calibri"/>
          <w:color w:val="1155CC"/>
          <w:sz w:val="22"/>
          <w:szCs w:val="22"/>
          <w:u w:val="single"/>
        </w:rPr>
        <w:instrText>"</w:instrText>
      </w:r>
      <w:r w:rsidR="00F57D7B" w:rsidRPr="005609D4">
        <w:rPr>
          <w:rFonts w:ascii="Calibri" w:hAnsi="Calibri" w:cs="Calibri"/>
          <w:color w:val="1155CC"/>
          <w:sz w:val="22"/>
          <w:szCs w:val="22"/>
          <w:u w:val="single"/>
        </w:rPr>
        <w:fldChar w:fldCharType="separate"/>
      </w:r>
      <w:r w:rsidR="00F57D7B" w:rsidRPr="005609D4">
        <w:rPr>
          <w:rStyle w:val="Hyperlink"/>
          <w:rFonts w:ascii="Calibri" w:hAnsi="Calibri" w:cs="Calibri"/>
          <w:sz w:val="22"/>
          <w:szCs w:val="22"/>
        </w:rPr>
        <w:t>https://doi.org/10.1080/03069885.2021.1948503</w:t>
      </w:r>
      <w:r w:rsidR="00F57D7B" w:rsidRPr="005609D4">
        <w:rPr>
          <w:rFonts w:ascii="Calibri" w:hAnsi="Calibri" w:cs="Calibri"/>
          <w:color w:val="1155CC"/>
          <w:sz w:val="22"/>
          <w:szCs w:val="22"/>
          <w:u w:val="single"/>
        </w:rPr>
        <w:fldChar w:fldCharType="end"/>
      </w:r>
    </w:p>
    <w:p w14:paraId="357B4288"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Http archive (n.d.) State of the Web.  Retrieved with parameters set for timeframe from October </w:t>
      </w:r>
    </w:p>
    <w:p w14:paraId="3725C0C8" w14:textId="18A0C43B"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t xml:space="preserve">2020 to January 2026.  </w:t>
      </w:r>
      <w:hyperlink r:id="rId7" w:history="1">
        <w:r w:rsidR="00F57D7B" w:rsidRPr="005609D4">
          <w:rPr>
            <w:rStyle w:val="Hyperlink"/>
            <w:rFonts w:ascii="Calibri" w:hAnsi="Calibri" w:cs="Calibri"/>
            <w:sz w:val="22"/>
            <w:szCs w:val="22"/>
          </w:rPr>
          <w:t>https://httparchive.org/reports/state-of-theweb?start=2020_10_01&amp;end=2026_01_01&amp;view=list</w:t>
        </w:r>
      </w:hyperlink>
    </w:p>
    <w:p w14:paraId="51CC27BB"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Jackson, D.  (2014).  Employability skill development in work-integrated learning: Barriers and </w:t>
      </w:r>
    </w:p>
    <w:p w14:paraId="553AC563" w14:textId="450DF4FD"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sz w:val="22"/>
          <w:szCs w:val="22"/>
        </w:rPr>
        <w:t xml:space="preserve">best practice.  </w:t>
      </w:r>
      <w:r w:rsidRPr="005609D4">
        <w:rPr>
          <w:rFonts w:ascii="Calibri" w:hAnsi="Calibri" w:cs="Calibri"/>
          <w:i/>
          <w:iCs/>
          <w:sz w:val="22"/>
          <w:szCs w:val="22"/>
        </w:rPr>
        <w:t>Studies in Higher Education, 40</w:t>
      </w:r>
      <w:r w:rsidRPr="005609D4">
        <w:rPr>
          <w:rFonts w:ascii="Calibri" w:hAnsi="Calibri" w:cs="Calibri"/>
          <w:sz w:val="22"/>
          <w:szCs w:val="22"/>
        </w:rPr>
        <w:t xml:space="preserve">(2), 350–367.  </w:t>
      </w:r>
      <w:r w:rsidR="00F57D7B" w:rsidRPr="005609D4">
        <w:rPr>
          <w:rFonts w:ascii="Calibri" w:hAnsi="Calibri" w:cs="Calibri"/>
          <w:color w:val="954F72"/>
          <w:sz w:val="22"/>
          <w:szCs w:val="22"/>
          <w:u w:val="single"/>
        </w:rPr>
        <w:fldChar w:fldCharType="begin"/>
      </w:r>
      <w:r w:rsidR="00F57D7B" w:rsidRPr="005609D4">
        <w:rPr>
          <w:rFonts w:ascii="Calibri" w:hAnsi="Calibri" w:cs="Calibri"/>
          <w:color w:val="954F72"/>
          <w:sz w:val="22"/>
          <w:szCs w:val="22"/>
          <w:u w:val="single"/>
        </w:rPr>
        <w:instrText>HYPERLINK "</w:instrText>
      </w:r>
      <w:r w:rsidR="00F57D7B" w:rsidRPr="005609D4">
        <w:rPr>
          <w:rFonts w:ascii="Calibri" w:hAnsi="Calibri" w:cs="Calibri"/>
          <w:color w:val="954F72"/>
          <w:sz w:val="22"/>
          <w:szCs w:val="22"/>
          <w:u w:val="single"/>
        </w:rPr>
        <w:instrText>https://doi.org/10.1080/03075079.2013.842221</w:instrText>
      </w:r>
      <w:r w:rsidR="00F57D7B" w:rsidRPr="005609D4">
        <w:rPr>
          <w:rFonts w:ascii="Calibri" w:hAnsi="Calibri" w:cs="Calibri"/>
          <w:color w:val="954F72"/>
          <w:sz w:val="22"/>
          <w:szCs w:val="22"/>
          <w:u w:val="single"/>
        </w:rPr>
        <w:instrText>"</w:instrText>
      </w:r>
      <w:r w:rsidR="00F57D7B" w:rsidRPr="005609D4">
        <w:rPr>
          <w:rFonts w:ascii="Calibri" w:hAnsi="Calibri" w:cs="Calibri"/>
          <w:color w:val="954F72"/>
          <w:sz w:val="22"/>
          <w:szCs w:val="22"/>
          <w:u w:val="single"/>
        </w:rPr>
        <w:fldChar w:fldCharType="separate"/>
      </w:r>
      <w:r w:rsidR="00F57D7B" w:rsidRPr="005609D4">
        <w:rPr>
          <w:rStyle w:val="Hyperlink"/>
          <w:rFonts w:ascii="Calibri" w:hAnsi="Calibri" w:cs="Calibri"/>
          <w:sz w:val="22"/>
          <w:szCs w:val="22"/>
        </w:rPr>
        <w:t>https://doi.org/10.1080/03075079.2013.842221</w:t>
      </w:r>
      <w:r w:rsidR="00F57D7B" w:rsidRPr="005609D4">
        <w:rPr>
          <w:rFonts w:ascii="Calibri" w:hAnsi="Calibri" w:cs="Calibri"/>
          <w:color w:val="954F72"/>
          <w:sz w:val="22"/>
          <w:szCs w:val="22"/>
          <w:u w:val="single"/>
        </w:rPr>
        <w:fldChar w:fldCharType="end"/>
      </w:r>
      <w:r w:rsidRPr="005609D4">
        <w:rPr>
          <w:rFonts w:ascii="Calibri" w:hAnsi="Calibri" w:cs="Calibri"/>
          <w:sz w:val="22"/>
          <w:szCs w:val="22"/>
        </w:rPr>
        <w:t xml:space="preserve"> </w:t>
      </w:r>
    </w:p>
    <w:p w14:paraId="12A58ACF"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Jackson, D., &amp; Dean, B.  A.  (2022).  The contribution of different types of work-integrated </w:t>
      </w:r>
    </w:p>
    <w:p w14:paraId="5A9BC711" w14:textId="14FB9591"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lastRenderedPageBreak/>
        <w:t xml:space="preserve">learning to graduate employability.  </w:t>
      </w:r>
      <w:r w:rsidRPr="005609D4">
        <w:rPr>
          <w:rFonts w:ascii="Calibri" w:hAnsi="Calibri" w:cs="Calibri"/>
          <w:i/>
          <w:iCs/>
          <w:sz w:val="22"/>
          <w:szCs w:val="22"/>
        </w:rPr>
        <w:t>Higher Education Research &amp; Development, 42</w:t>
      </w:r>
      <w:r w:rsidRPr="005609D4">
        <w:rPr>
          <w:rFonts w:ascii="Calibri" w:hAnsi="Calibri" w:cs="Calibri"/>
          <w:sz w:val="22"/>
          <w:szCs w:val="22"/>
        </w:rPr>
        <w:t xml:space="preserve">(1), 93–110.  </w:t>
      </w:r>
      <w:hyperlink r:id="rId8">
        <w:r w:rsidRPr="005609D4">
          <w:rPr>
            <w:rFonts w:ascii="Calibri" w:hAnsi="Calibri" w:cs="Calibri"/>
            <w:color w:val="954F72"/>
            <w:sz w:val="22"/>
            <w:szCs w:val="22"/>
            <w:u w:val="single"/>
          </w:rPr>
          <w:t>https://doi.org/10.1080/07294360.2022.2048638</w:t>
        </w:r>
      </w:hyperlink>
    </w:p>
    <w:p w14:paraId="1608F302"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 Khan, T.  H., </w:t>
      </w:r>
      <w:proofErr w:type="spellStart"/>
      <w:r w:rsidRPr="005609D4">
        <w:rPr>
          <w:rFonts w:ascii="Calibri" w:hAnsi="Calibri" w:cs="Calibri"/>
          <w:sz w:val="22"/>
          <w:szCs w:val="22"/>
        </w:rPr>
        <w:t>Drewery</w:t>
      </w:r>
      <w:proofErr w:type="spellEnd"/>
      <w:r w:rsidRPr="005609D4">
        <w:rPr>
          <w:rFonts w:ascii="Calibri" w:hAnsi="Calibri" w:cs="Calibri"/>
          <w:sz w:val="22"/>
          <w:szCs w:val="22"/>
        </w:rPr>
        <w:t xml:space="preserve">, D., </w:t>
      </w:r>
      <w:proofErr w:type="spellStart"/>
      <w:r w:rsidRPr="005609D4">
        <w:rPr>
          <w:rFonts w:ascii="Calibri" w:hAnsi="Calibri" w:cs="Calibri"/>
          <w:sz w:val="22"/>
          <w:szCs w:val="22"/>
        </w:rPr>
        <w:t>Ademuyiwa</w:t>
      </w:r>
      <w:proofErr w:type="spellEnd"/>
      <w:r w:rsidRPr="005609D4">
        <w:rPr>
          <w:rFonts w:ascii="Calibri" w:hAnsi="Calibri" w:cs="Calibri"/>
          <w:sz w:val="22"/>
          <w:szCs w:val="22"/>
        </w:rPr>
        <w:t xml:space="preserve">, I., </w:t>
      </w:r>
      <w:proofErr w:type="spellStart"/>
      <w:r w:rsidRPr="005609D4">
        <w:rPr>
          <w:rFonts w:ascii="Calibri" w:hAnsi="Calibri" w:cs="Calibri"/>
          <w:sz w:val="22"/>
          <w:szCs w:val="22"/>
        </w:rPr>
        <w:t>Fannon</w:t>
      </w:r>
      <w:proofErr w:type="spellEnd"/>
      <w:r w:rsidRPr="005609D4">
        <w:rPr>
          <w:rFonts w:ascii="Calibri" w:hAnsi="Calibri" w:cs="Calibri"/>
          <w:sz w:val="22"/>
          <w:szCs w:val="22"/>
        </w:rPr>
        <w:t xml:space="preserve">, A.-M., &amp; Phillips-Davis, C.  (2004).  An </w:t>
      </w:r>
    </w:p>
    <w:p w14:paraId="28134FE3" w14:textId="50459E6F"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t xml:space="preserve">investigation of barriers experienced by students from equity-deserving groups in a Canadian co-op program.  </w:t>
      </w:r>
      <w:r w:rsidRPr="005609D4">
        <w:rPr>
          <w:rFonts w:ascii="Calibri" w:hAnsi="Calibri" w:cs="Calibri"/>
          <w:i/>
          <w:iCs/>
          <w:sz w:val="22"/>
          <w:szCs w:val="22"/>
        </w:rPr>
        <w:t>International Journal of Work-Integrated Learning, 25</w:t>
      </w:r>
      <w:r w:rsidRPr="005609D4">
        <w:rPr>
          <w:rFonts w:ascii="Calibri" w:hAnsi="Calibri" w:cs="Calibri"/>
          <w:sz w:val="22"/>
          <w:szCs w:val="22"/>
          <w:highlight w:val="white"/>
        </w:rPr>
        <w:t>(1), 51</w:t>
      </w:r>
      <w:r w:rsidRPr="005609D4">
        <w:rPr>
          <w:rFonts w:ascii="Calibri" w:hAnsi="Calibri" w:cs="Calibri"/>
          <w:sz w:val="22"/>
          <w:szCs w:val="22"/>
        </w:rPr>
        <w:t>–</w:t>
      </w:r>
      <w:r w:rsidRPr="005609D4">
        <w:rPr>
          <w:rFonts w:ascii="Calibri" w:hAnsi="Calibri" w:cs="Calibri"/>
          <w:sz w:val="22"/>
          <w:szCs w:val="22"/>
          <w:highlight w:val="white"/>
        </w:rPr>
        <w:t>65</w:t>
      </w:r>
      <w:r w:rsidR="00F57D7B" w:rsidRPr="005609D4">
        <w:rPr>
          <w:rFonts w:ascii="Calibri" w:hAnsi="Calibri" w:cs="Calibri"/>
          <w:sz w:val="22"/>
          <w:szCs w:val="22"/>
        </w:rPr>
        <w:t>.</w:t>
      </w:r>
    </w:p>
    <w:p w14:paraId="5C75971A"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KPMG.  (2025, October 6).  </w:t>
      </w:r>
      <w:r w:rsidRPr="005609D4">
        <w:rPr>
          <w:rFonts w:ascii="Calibri" w:hAnsi="Calibri" w:cs="Calibri"/>
          <w:i/>
          <w:iCs/>
          <w:sz w:val="22"/>
          <w:szCs w:val="22"/>
        </w:rPr>
        <w:t>Generative AI boom among Canadian students raises dilemmas.</w:t>
      </w:r>
    </w:p>
    <w:p w14:paraId="01D6471E" w14:textId="43E448D2" w:rsidR="002D748A" w:rsidRPr="005609D4" w:rsidRDefault="002D748A" w:rsidP="00F57D7B">
      <w:pPr>
        <w:spacing w:line="480" w:lineRule="auto"/>
        <w:ind w:left="720" w:firstLine="60"/>
        <w:rPr>
          <w:rFonts w:ascii="Calibri" w:hAnsi="Calibri" w:cs="Calibri"/>
          <w:sz w:val="22"/>
          <w:szCs w:val="22"/>
        </w:rPr>
      </w:pPr>
      <w:r w:rsidRPr="005609D4">
        <w:rPr>
          <w:rFonts w:ascii="Calibri" w:hAnsi="Calibri" w:cs="Calibri"/>
          <w:sz w:val="22"/>
          <w:szCs w:val="22"/>
        </w:rPr>
        <w:t>News Release.</w:t>
      </w:r>
      <w:r w:rsidRPr="005609D4">
        <w:rPr>
          <w:rFonts w:ascii="Calibri" w:hAnsi="Calibri" w:cs="Calibri"/>
          <w:sz w:val="22"/>
          <w:szCs w:val="22"/>
        </w:rPr>
        <w:tab/>
      </w:r>
      <w:hyperlink r:id="rId9" w:history="1">
        <w:r w:rsidR="00F57D7B" w:rsidRPr="005609D4">
          <w:rPr>
            <w:rStyle w:val="Hyperlink"/>
            <w:rFonts w:ascii="Calibri" w:hAnsi="Calibri" w:cs="Calibri"/>
            <w:sz w:val="22"/>
            <w:szCs w:val="22"/>
          </w:rPr>
          <w:t>https://kpmg.com/ca/en/home/media/press-releases/2025/10/generative-ai-boom-among-canadian-stu</w:t>
        </w:r>
        <w:r w:rsidR="00F57D7B" w:rsidRPr="005609D4">
          <w:rPr>
            <w:rStyle w:val="Hyperlink"/>
            <w:rFonts w:ascii="Calibri" w:hAnsi="Calibri" w:cs="Calibri"/>
            <w:sz w:val="22"/>
            <w:szCs w:val="22"/>
          </w:rPr>
          <w:tab/>
          <w:t>dents-raises-dilemmas.html</w:t>
        </w:r>
      </w:hyperlink>
    </w:p>
    <w:p w14:paraId="1472E82C" w14:textId="77777777" w:rsidR="002D748A"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Council of Ontario Universities.  (2014).  </w:t>
      </w:r>
      <w:r w:rsidRPr="005609D4">
        <w:rPr>
          <w:rFonts w:ascii="Calibri" w:hAnsi="Calibri" w:cs="Calibri"/>
          <w:i/>
          <w:iCs/>
          <w:sz w:val="22"/>
          <w:szCs w:val="22"/>
        </w:rPr>
        <w:t xml:space="preserve">Bringing life to learning at Ontario universities.  </w:t>
      </w:r>
    </w:p>
    <w:p w14:paraId="4BF66532" w14:textId="43515142" w:rsidR="002D748A" w:rsidRPr="005609D4" w:rsidRDefault="00F57D7B" w:rsidP="00F57D7B">
      <w:pPr>
        <w:spacing w:line="480" w:lineRule="auto"/>
        <w:ind w:left="720"/>
        <w:rPr>
          <w:rFonts w:ascii="Calibri" w:hAnsi="Calibri" w:cs="Calibri"/>
          <w:sz w:val="22"/>
          <w:szCs w:val="22"/>
        </w:rPr>
      </w:pPr>
      <w:hyperlink r:id="rId10" w:history="1">
        <w:r w:rsidRPr="005609D4">
          <w:rPr>
            <w:rStyle w:val="Hyperlink"/>
            <w:rFonts w:ascii="Calibri" w:hAnsi="Calibri" w:cs="Calibri"/>
            <w:sz w:val="22"/>
            <w:szCs w:val="22"/>
          </w:rPr>
          <w:t>https://ontariosuniversities.ca/wp-content/uploads/2014/03/COU-Experiential-Learning-Report-2014.pdf</w:t>
        </w:r>
      </w:hyperlink>
    </w:p>
    <w:p w14:paraId="22F79E8F"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Patton, M.  Q.  (2015).  Qualitative research &amp; evaluation methods: integrating theory and </w:t>
      </w:r>
    </w:p>
    <w:p w14:paraId="5CC9B114" w14:textId="108AA314" w:rsidR="002D748A" w:rsidRPr="005609D4" w:rsidRDefault="002D748A" w:rsidP="00F57D7B">
      <w:pPr>
        <w:spacing w:line="480" w:lineRule="auto"/>
        <w:ind w:firstLine="720"/>
        <w:rPr>
          <w:rFonts w:ascii="Calibri" w:hAnsi="Calibri" w:cs="Calibri"/>
          <w:sz w:val="22"/>
          <w:szCs w:val="22"/>
        </w:rPr>
      </w:pPr>
      <w:r w:rsidRPr="005609D4">
        <w:rPr>
          <w:rFonts w:ascii="Calibri" w:hAnsi="Calibri" w:cs="Calibri"/>
          <w:sz w:val="22"/>
          <w:szCs w:val="22"/>
        </w:rPr>
        <w:t>practice.  SAGE Publications, Inc.</w:t>
      </w:r>
    </w:p>
    <w:p w14:paraId="5E85A38C"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Pizarro </w:t>
      </w:r>
      <w:proofErr w:type="spellStart"/>
      <w:r w:rsidRPr="005609D4">
        <w:rPr>
          <w:rFonts w:ascii="Calibri" w:hAnsi="Calibri" w:cs="Calibri"/>
          <w:sz w:val="22"/>
          <w:szCs w:val="22"/>
        </w:rPr>
        <w:t>Milian</w:t>
      </w:r>
      <w:proofErr w:type="spellEnd"/>
      <w:r w:rsidRPr="005609D4">
        <w:rPr>
          <w:rFonts w:ascii="Calibri" w:hAnsi="Calibri" w:cs="Calibri"/>
          <w:sz w:val="22"/>
          <w:szCs w:val="22"/>
        </w:rPr>
        <w:t xml:space="preserve">, R., Seward, B., Walters, D., &amp; </w:t>
      </w:r>
      <w:proofErr w:type="spellStart"/>
      <w:r w:rsidRPr="005609D4">
        <w:rPr>
          <w:rFonts w:ascii="Calibri" w:hAnsi="Calibri" w:cs="Calibri"/>
          <w:sz w:val="22"/>
          <w:szCs w:val="22"/>
        </w:rPr>
        <w:t>Wyonch</w:t>
      </w:r>
      <w:proofErr w:type="spellEnd"/>
      <w:r w:rsidRPr="005609D4">
        <w:rPr>
          <w:rFonts w:ascii="Calibri" w:hAnsi="Calibri" w:cs="Calibri"/>
          <w:sz w:val="22"/>
          <w:szCs w:val="22"/>
        </w:rPr>
        <w:t xml:space="preserve">, R.  (2021).  </w:t>
      </w:r>
      <w:r w:rsidRPr="005609D4">
        <w:rPr>
          <w:rFonts w:ascii="Calibri" w:hAnsi="Calibri" w:cs="Calibri"/>
          <w:i/>
          <w:iCs/>
          <w:sz w:val="22"/>
          <w:szCs w:val="22"/>
        </w:rPr>
        <w:t>Work integrated learning—</w:t>
      </w:r>
    </w:p>
    <w:p w14:paraId="6BDDA951" w14:textId="47E028D8"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i/>
          <w:iCs/>
          <w:sz w:val="22"/>
          <w:szCs w:val="22"/>
        </w:rPr>
        <w:t xml:space="preserve">Does it provide a labour market advantage? Evidence from the 2018 National Graduates Survey.  </w:t>
      </w:r>
      <w:r w:rsidRPr="005609D4">
        <w:rPr>
          <w:rFonts w:ascii="Calibri" w:hAnsi="Calibri" w:cs="Calibri"/>
          <w:sz w:val="22"/>
          <w:szCs w:val="22"/>
        </w:rPr>
        <w:t xml:space="preserve">Future Skills Research Lab.  University of Toronto </w:t>
      </w:r>
      <w:proofErr w:type="spellStart"/>
      <w:r w:rsidRPr="005609D4">
        <w:rPr>
          <w:rFonts w:ascii="Calibri" w:hAnsi="Calibri" w:cs="Calibri"/>
          <w:sz w:val="22"/>
          <w:szCs w:val="22"/>
        </w:rPr>
        <w:t>TSpace</w:t>
      </w:r>
      <w:proofErr w:type="spellEnd"/>
      <w:r w:rsidRPr="005609D4">
        <w:rPr>
          <w:rFonts w:ascii="Calibri" w:hAnsi="Calibri" w:cs="Calibri"/>
          <w:sz w:val="22"/>
          <w:szCs w:val="22"/>
        </w:rPr>
        <w:t xml:space="preserve">.  </w:t>
      </w:r>
      <w:hyperlink r:id="rId11">
        <w:r w:rsidRPr="005609D4">
          <w:rPr>
            <w:rFonts w:ascii="Calibri" w:hAnsi="Calibri" w:cs="Calibri"/>
            <w:color w:val="1155CC"/>
            <w:sz w:val="22"/>
            <w:szCs w:val="22"/>
            <w:u w:val="single"/>
          </w:rPr>
          <w:t>http://hdl.handle.net/1807/111097</w:t>
        </w:r>
      </w:hyperlink>
    </w:p>
    <w:p w14:paraId="36FB9BFA" w14:textId="77777777" w:rsidR="00F57D7B" w:rsidRPr="005609D4" w:rsidRDefault="002D748A" w:rsidP="00F57D7B">
      <w:pPr>
        <w:spacing w:line="480" w:lineRule="auto"/>
        <w:rPr>
          <w:rFonts w:ascii="Calibri" w:hAnsi="Calibri" w:cs="Calibri"/>
          <w:sz w:val="22"/>
          <w:szCs w:val="22"/>
        </w:rPr>
      </w:pPr>
      <w:proofErr w:type="spellStart"/>
      <w:proofErr w:type="gramStart"/>
      <w:r w:rsidRPr="005609D4">
        <w:rPr>
          <w:rFonts w:ascii="Calibri" w:hAnsi="Calibri" w:cs="Calibri"/>
          <w:sz w:val="22"/>
          <w:szCs w:val="22"/>
        </w:rPr>
        <w:t>Rao,K</w:t>
      </w:r>
      <w:proofErr w:type="spellEnd"/>
      <w:r w:rsidRPr="005609D4">
        <w:rPr>
          <w:rFonts w:ascii="Calibri" w:hAnsi="Calibri" w:cs="Calibri"/>
          <w:sz w:val="22"/>
          <w:szCs w:val="22"/>
        </w:rPr>
        <w:t>.</w:t>
      </w:r>
      <w:proofErr w:type="gramEnd"/>
      <w:r w:rsidRPr="005609D4">
        <w:rPr>
          <w:rFonts w:ascii="Calibri" w:hAnsi="Calibri" w:cs="Calibri"/>
          <w:sz w:val="22"/>
          <w:szCs w:val="22"/>
        </w:rPr>
        <w:t xml:space="preserve">, </w:t>
      </w:r>
      <w:proofErr w:type="spellStart"/>
      <w:r w:rsidRPr="005609D4">
        <w:rPr>
          <w:rFonts w:ascii="Calibri" w:hAnsi="Calibri" w:cs="Calibri"/>
          <w:sz w:val="22"/>
          <w:szCs w:val="22"/>
        </w:rPr>
        <w:t>Garant</w:t>
      </w:r>
      <w:proofErr w:type="spellEnd"/>
      <w:r w:rsidRPr="005609D4">
        <w:rPr>
          <w:rFonts w:ascii="Calibri" w:hAnsi="Calibri" w:cs="Calibri"/>
          <w:sz w:val="22"/>
          <w:szCs w:val="22"/>
        </w:rPr>
        <w:t xml:space="preserve">-Jones, E., Dean, B.  A., &amp; </w:t>
      </w:r>
      <w:proofErr w:type="spellStart"/>
      <w:r w:rsidRPr="005609D4">
        <w:rPr>
          <w:rFonts w:ascii="Calibri" w:hAnsi="Calibri" w:cs="Calibri"/>
          <w:sz w:val="22"/>
          <w:szCs w:val="22"/>
        </w:rPr>
        <w:t>Eady</w:t>
      </w:r>
      <w:proofErr w:type="spellEnd"/>
      <w:r w:rsidRPr="005609D4">
        <w:rPr>
          <w:rFonts w:ascii="Calibri" w:hAnsi="Calibri" w:cs="Calibri"/>
          <w:sz w:val="22"/>
          <w:szCs w:val="22"/>
        </w:rPr>
        <w:t xml:space="preserve">, M.  J.  (2024).  ​​Applying universal design for </w:t>
      </w:r>
    </w:p>
    <w:p w14:paraId="58F66647" w14:textId="6D9BA31B"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sz w:val="22"/>
          <w:szCs w:val="22"/>
        </w:rPr>
        <w:t xml:space="preserve">learning to work-integrated learning: Designing for inclusion and equity.  </w:t>
      </w:r>
      <w:r w:rsidRPr="005609D4">
        <w:rPr>
          <w:rFonts w:ascii="Calibri" w:hAnsi="Calibri" w:cs="Calibri"/>
          <w:i/>
          <w:iCs/>
          <w:sz w:val="22"/>
          <w:szCs w:val="22"/>
        </w:rPr>
        <w:t>International Journal of Work-Integrated Learning, 25</w:t>
      </w:r>
      <w:r w:rsidRPr="005609D4">
        <w:rPr>
          <w:rFonts w:ascii="Calibri" w:hAnsi="Calibri" w:cs="Calibri"/>
          <w:sz w:val="22"/>
          <w:szCs w:val="22"/>
        </w:rPr>
        <w:t>(1), 67–81.</w:t>
      </w:r>
    </w:p>
    <w:p w14:paraId="2AF4CB3B"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Rogers, P.  J.  &amp; Woolcock, M.  (2023).  </w:t>
      </w:r>
      <w:r w:rsidRPr="005609D4">
        <w:rPr>
          <w:rFonts w:ascii="Calibri" w:hAnsi="Calibri" w:cs="Calibri"/>
          <w:i/>
          <w:iCs/>
          <w:sz w:val="22"/>
          <w:szCs w:val="22"/>
        </w:rPr>
        <w:t xml:space="preserve">Process and implementation evaluations: A primer.  </w:t>
      </w:r>
    </w:p>
    <w:p w14:paraId="4C3ED4AE" w14:textId="06A2B48A" w:rsidR="002D748A" w:rsidRPr="005609D4" w:rsidRDefault="002D748A" w:rsidP="00F57D7B">
      <w:pPr>
        <w:spacing w:line="480" w:lineRule="auto"/>
        <w:ind w:firstLine="720"/>
        <w:rPr>
          <w:rFonts w:ascii="Calibri" w:hAnsi="Calibri" w:cs="Calibri"/>
          <w:sz w:val="22"/>
          <w:szCs w:val="22"/>
        </w:rPr>
      </w:pPr>
      <w:r w:rsidRPr="005609D4">
        <w:rPr>
          <w:rFonts w:ascii="Calibri" w:hAnsi="Calibri" w:cs="Calibri"/>
          <w:sz w:val="22"/>
          <w:szCs w:val="22"/>
        </w:rPr>
        <w:t>Center for International Development at Harvard University.</w:t>
      </w:r>
    </w:p>
    <w:p w14:paraId="2171E2AA" w14:textId="187F71A8" w:rsidR="002D748A" w:rsidRPr="005609D4" w:rsidRDefault="00F57D7B" w:rsidP="00F57D7B">
      <w:pPr>
        <w:spacing w:line="480" w:lineRule="auto"/>
        <w:rPr>
          <w:rFonts w:ascii="Calibri" w:hAnsi="Calibri" w:cs="Calibri"/>
          <w:sz w:val="22"/>
          <w:szCs w:val="22"/>
        </w:rPr>
      </w:pPr>
      <w:hyperlink r:id="rId12" w:history="1">
        <w:r w:rsidRPr="005609D4">
          <w:rPr>
            <w:rStyle w:val="Hyperlink"/>
            <w:rFonts w:ascii="Calibri" w:hAnsi="Calibri" w:cs="Calibri"/>
            <w:sz w:val="22"/>
            <w:szCs w:val="22"/>
          </w:rPr>
          <w:t>https://bsc.cid.harvard.edu/publications/process-and-implementation-evaluations-a-primer/</w:t>
        </w:r>
      </w:hyperlink>
    </w:p>
    <w:p w14:paraId="29116A3A" w14:textId="77777777" w:rsidR="002D748A" w:rsidRPr="005609D4" w:rsidRDefault="002D748A" w:rsidP="00F57D7B">
      <w:pPr>
        <w:spacing w:line="480" w:lineRule="auto"/>
        <w:rPr>
          <w:rFonts w:ascii="Calibri" w:hAnsi="Calibri" w:cs="Calibri"/>
          <w:sz w:val="22"/>
          <w:szCs w:val="22"/>
        </w:rPr>
      </w:pPr>
    </w:p>
    <w:p w14:paraId="18AE828F" w14:textId="77777777" w:rsidR="00F57D7B" w:rsidRPr="005609D4" w:rsidRDefault="002D748A" w:rsidP="00F57D7B">
      <w:pPr>
        <w:spacing w:line="480" w:lineRule="auto"/>
        <w:rPr>
          <w:rFonts w:ascii="Calibri" w:hAnsi="Calibri" w:cs="Calibri"/>
          <w:i/>
          <w:iCs/>
          <w:sz w:val="22"/>
          <w:szCs w:val="22"/>
        </w:rPr>
      </w:pPr>
      <w:proofErr w:type="spellStart"/>
      <w:r w:rsidRPr="005609D4">
        <w:rPr>
          <w:rFonts w:ascii="Calibri" w:hAnsi="Calibri" w:cs="Calibri"/>
          <w:sz w:val="22"/>
          <w:szCs w:val="22"/>
        </w:rPr>
        <w:t>Romito</w:t>
      </w:r>
      <w:proofErr w:type="spellEnd"/>
      <w:r w:rsidRPr="005609D4">
        <w:rPr>
          <w:rFonts w:ascii="Calibri" w:hAnsi="Calibri" w:cs="Calibri"/>
          <w:sz w:val="22"/>
          <w:szCs w:val="22"/>
        </w:rPr>
        <w:t xml:space="preserve">, T.  (2022, September 29).  </w:t>
      </w:r>
      <w:r w:rsidRPr="005609D4">
        <w:rPr>
          <w:rFonts w:ascii="Calibri" w:hAnsi="Calibri" w:cs="Calibri"/>
          <w:i/>
          <w:iCs/>
          <w:sz w:val="22"/>
          <w:szCs w:val="22"/>
        </w:rPr>
        <w:t xml:space="preserve">The Government of Canada renews its investments in the </w:t>
      </w:r>
    </w:p>
    <w:p w14:paraId="2DD4CE77" w14:textId="3D9DA84E"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i/>
          <w:iCs/>
          <w:sz w:val="22"/>
          <w:szCs w:val="22"/>
        </w:rPr>
        <w:lastRenderedPageBreak/>
        <w:t xml:space="preserve">Business + Higher Education Roundtable to create and scale new WIL opportunities and strengthen Canada’s WIL ecosystem.  </w:t>
      </w:r>
      <w:r w:rsidRPr="005609D4">
        <w:rPr>
          <w:rFonts w:ascii="Calibri" w:hAnsi="Calibri" w:cs="Calibri"/>
          <w:sz w:val="22"/>
          <w:szCs w:val="22"/>
        </w:rPr>
        <w:t xml:space="preserve">Business + Higher Education Roundtable News + Insights.  </w:t>
      </w:r>
      <w:hyperlink r:id="rId13">
        <w:r w:rsidRPr="005609D4">
          <w:rPr>
            <w:rFonts w:ascii="Calibri" w:hAnsi="Calibri" w:cs="Calibri"/>
            <w:color w:val="954F72"/>
            <w:sz w:val="22"/>
            <w:szCs w:val="22"/>
            <w:u w:val="single"/>
          </w:rPr>
          <w:t>https://bher.ca/article/2022/09/the-government-of-canada-renews-its-investments-in-the-business-higher-education-roundtable</w:t>
        </w:r>
      </w:hyperlink>
    </w:p>
    <w:p w14:paraId="21634550"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Statistics Canada.  (2020).  </w:t>
      </w:r>
      <w:r w:rsidRPr="005609D4">
        <w:rPr>
          <w:rFonts w:ascii="Calibri" w:hAnsi="Calibri" w:cs="Calibri"/>
          <w:i/>
          <w:iCs/>
          <w:sz w:val="22"/>
          <w:szCs w:val="22"/>
        </w:rPr>
        <w:t xml:space="preserve">COVID-19 pandemic: Academic impacts on postsecondary students </w:t>
      </w:r>
    </w:p>
    <w:p w14:paraId="116A453D" w14:textId="56E12B53"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i/>
          <w:iCs/>
          <w:sz w:val="22"/>
          <w:szCs w:val="22"/>
        </w:rPr>
        <w:t xml:space="preserve">in Canada.  </w:t>
      </w:r>
      <w:proofErr w:type="spellStart"/>
      <w:r w:rsidRPr="005609D4">
        <w:rPr>
          <w:rFonts w:ascii="Calibri" w:hAnsi="Calibri" w:cs="Calibri"/>
          <w:sz w:val="22"/>
          <w:szCs w:val="22"/>
        </w:rPr>
        <w:t>StatCan</w:t>
      </w:r>
      <w:proofErr w:type="spellEnd"/>
      <w:r w:rsidRPr="005609D4">
        <w:rPr>
          <w:rFonts w:ascii="Calibri" w:hAnsi="Calibri" w:cs="Calibri"/>
          <w:sz w:val="22"/>
          <w:szCs w:val="22"/>
        </w:rPr>
        <w:t xml:space="preserve"> COVID-19. </w:t>
      </w:r>
      <w:hyperlink r:id="rId14" w:history="1">
        <w:r w:rsidR="00F57D7B" w:rsidRPr="005609D4">
          <w:rPr>
            <w:rStyle w:val="Hyperlink"/>
            <w:rFonts w:ascii="Calibri" w:hAnsi="Calibri" w:cs="Calibri"/>
            <w:sz w:val="22"/>
            <w:szCs w:val="22"/>
          </w:rPr>
          <w:t>https://www150.statcan.gc.ca/n1/pub/45-28-0001/2020001/article/00015-eng.htm</w:t>
        </w:r>
      </w:hyperlink>
    </w:p>
    <w:p w14:paraId="039DCA6F"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Statistics Canada.  (2024, November 20).  </w:t>
      </w:r>
      <w:r w:rsidRPr="005609D4">
        <w:rPr>
          <w:rFonts w:ascii="Calibri" w:hAnsi="Calibri" w:cs="Calibri"/>
          <w:i/>
          <w:iCs/>
          <w:sz w:val="22"/>
          <w:szCs w:val="22"/>
        </w:rPr>
        <w:t xml:space="preserve">Postsecondary enrolments, by detailed field of study, </w:t>
      </w:r>
    </w:p>
    <w:p w14:paraId="4063BEFD" w14:textId="15E22954"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i/>
          <w:iCs/>
          <w:sz w:val="22"/>
          <w:szCs w:val="22"/>
        </w:rPr>
        <w:t xml:space="preserve">institution, and program and student characteristics.  </w:t>
      </w:r>
      <w:hyperlink r:id="rId15" w:history="1">
        <w:r w:rsidR="00F57D7B" w:rsidRPr="005609D4">
          <w:rPr>
            <w:rStyle w:val="Hyperlink"/>
            <w:rFonts w:ascii="Calibri" w:hAnsi="Calibri" w:cs="Calibri"/>
            <w:sz w:val="22"/>
            <w:szCs w:val="22"/>
          </w:rPr>
          <w:t>https://open.canada.ca/data/en/dataset/a0695506-dcdf-415e-970e-05ddff4cf523</w:t>
        </w:r>
      </w:hyperlink>
    </w:p>
    <w:p w14:paraId="56BC8189"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Universities, Canada (2023, April 25).  </w:t>
      </w:r>
      <w:r w:rsidRPr="005609D4">
        <w:rPr>
          <w:rFonts w:ascii="Calibri" w:hAnsi="Calibri" w:cs="Calibri"/>
          <w:i/>
          <w:iCs/>
          <w:sz w:val="22"/>
          <w:szCs w:val="22"/>
        </w:rPr>
        <w:t xml:space="preserve">Universities Canada’s commitments to truth and </w:t>
      </w:r>
    </w:p>
    <w:p w14:paraId="7CA00734" w14:textId="68BEB4E2" w:rsidR="002D748A" w:rsidRPr="005609D4" w:rsidRDefault="002D748A" w:rsidP="00F57D7B">
      <w:pPr>
        <w:spacing w:line="480" w:lineRule="auto"/>
        <w:ind w:left="720"/>
        <w:rPr>
          <w:rFonts w:ascii="Calibri" w:hAnsi="Calibri" w:cs="Calibri"/>
          <w:i/>
          <w:iCs/>
          <w:sz w:val="22"/>
          <w:szCs w:val="22"/>
        </w:rPr>
      </w:pPr>
      <w:r w:rsidRPr="005609D4">
        <w:rPr>
          <w:rFonts w:ascii="Calibri" w:hAnsi="Calibri" w:cs="Calibri"/>
          <w:i/>
          <w:iCs/>
          <w:sz w:val="22"/>
          <w:szCs w:val="22"/>
        </w:rPr>
        <w:t xml:space="preserve">reconciliation.  </w:t>
      </w:r>
      <w:hyperlink r:id="rId16" w:history="1">
        <w:r w:rsidR="00F57D7B" w:rsidRPr="005609D4">
          <w:rPr>
            <w:rStyle w:val="Hyperlink"/>
            <w:rFonts w:ascii="Calibri" w:hAnsi="Calibri" w:cs="Calibri"/>
            <w:sz w:val="22"/>
            <w:szCs w:val="22"/>
          </w:rPr>
          <w:t>https://univcan.ca/publication/universities-canadas-commitments-to-</w:t>
        </w:r>
      </w:hyperlink>
      <w:r w:rsidRPr="005609D4">
        <w:rPr>
          <w:rFonts w:ascii="Calibri" w:hAnsi="Calibri" w:cs="Calibri"/>
          <w:sz w:val="22"/>
          <w:szCs w:val="22"/>
        </w:rPr>
        <w:t>truth-and-reconciliation/</w:t>
      </w:r>
    </w:p>
    <w:p w14:paraId="2CB4840E"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Usher, A.  (2021, June 8).  </w:t>
      </w:r>
      <w:r w:rsidRPr="005609D4">
        <w:rPr>
          <w:rFonts w:ascii="Calibri" w:hAnsi="Calibri" w:cs="Calibri"/>
          <w:i/>
          <w:iCs/>
          <w:sz w:val="22"/>
          <w:szCs w:val="22"/>
        </w:rPr>
        <w:t xml:space="preserve">To 2038.  </w:t>
      </w:r>
      <w:r w:rsidRPr="005609D4">
        <w:rPr>
          <w:rFonts w:ascii="Calibri" w:hAnsi="Calibri" w:cs="Calibri"/>
          <w:sz w:val="22"/>
          <w:szCs w:val="22"/>
        </w:rPr>
        <w:t>Higher Education Strategy Associates.</w:t>
      </w:r>
      <w:r w:rsidR="00F57D7B" w:rsidRPr="005609D4">
        <w:rPr>
          <w:rFonts w:ascii="Calibri" w:hAnsi="Calibri" w:cs="Calibri"/>
          <w:sz w:val="22"/>
          <w:szCs w:val="22"/>
        </w:rPr>
        <w:t xml:space="preserve"> </w:t>
      </w:r>
    </w:p>
    <w:p w14:paraId="4003A34B" w14:textId="33414FB6" w:rsidR="002D748A" w:rsidRPr="005609D4" w:rsidRDefault="00F57D7B" w:rsidP="00F57D7B">
      <w:pPr>
        <w:spacing w:line="480" w:lineRule="auto"/>
        <w:ind w:firstLine="720"/>
        <w:rPr>
          <w:rFonts w:ascii="Calibri" w:hAnsi="Calibri" w:cs="Calibri"/>
          <w:sz w:val="22"/>
          <w:szCs w:val="22"/>
        </w:rPr>
      </w:pPr>
      <w:hyperlink r:id="rId17" w:history="1">
        <w:r w:rsidRPr="005609D4">
          <w:rPr>
            <w:rStyle w:val="Hyperlink"/>
            <w:rFonts w:ascii="Calibri" w:hAnsi="Calibri" w:cs="Calibri"/>
            <w:sz w:val="22"/>
            <w:szCs w:val="22"/>
          </w:rPr>
          <w:t>https://higheredstrategy.com/to-2038/</w:t>
        </w:r>
      </w:hyperlink>
    </w:p>
    <w:p w14:paraId="7703B366" w14:textId="77777777" w:rsidR="00F57D7B"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Usher, A., &amp; Balfour, J.  (2024).  </w:t>
      </w:r>
      <w:r w:rsidRPr="005609D4">
        <w:rPr>
          <w:rFonts w:ascii="Calibri" w:hAnsi="Calibri" w:cs="Calibri"/>
          <w:i/>
          <w:iCs/>
          <w:sz w:val="22"/>
          <w:szCs w:val="22"/>
        </w:rPr>
        <w:t xml:space="preserve">The state of postsecondary education in Canada 2024.  </w:t>
      </w:r>
      <w:r w:rsidRPr="005609D4">
        <w:rPr>
          <w:rFonts w:ascii="Calibri" w:hAnsi="Calibri" w:cs="Calibri"/>
          <w:sz w:val="22"/>
          <w:szCs w:val="22"/>
        </w:rPr>
        <w:t xml:space="preserve">Higher </w:t>
      </w:r>
    </w:p>
    <w:p w14:paraId="7CBD3740" w14:textId="64064012" w:rsidR="002D748A" w:rsidRPr="005609D4" w:rsidRDefault="002D748A" w:rsidP="00F57D7B">
      <w:pPr>
        <w:spacing w:line="480" w:lineRule="auto"/>
        <w:ind w:firstLine="720"/>
        <w:rPr>
          <w:rFonts w:ascii="Calibri" w:hAnsi="Calibri" w:cs="Calibri"/>
          <w:sz w:val="22"/>
          <w:szCs w:val="22"/>
        </w:rPr>
      </w:pPr>
      <w:r w:rsidRPr="005609D4">
        <w:rPr>
          <w:rFonts w:ascii="Calibri" w:hAnsi="Calibri" w:cs="Calibri"/>
          <w:sz w:val="22"/>
          <w:szCs w:val="22"/>
        </w:rPr>
        <w:t xml:space="preserve">Education Strategy Associates.   </w:t>
      </w:r>
    </w:p>
    <w:p w14:paraId="1D491AFC" w14:textId="77777777" w:rsidR="00F57D7B" w:rsidRPr="005609D4" w:rsidRDefault="002D748A" w:rsidP="00F57D7B">
      <w:pPr>
        <w:spacing w:line="480" w:lineRule="auto"/>
        <w:rPr>
          <w:rFonts w:ascii="Calibri" w:hAnsi="Calibri" w:cs="Calibri"/>
          <w:i/>
          <w:iCs/>
          <w:sz w:val="22"/>
          <w:szCs w:val="22"/>
        </w:rPr>
      </w:pPr>
      <w:proofErr w:type="spellStart"/>
      <w:r w:rsidRPr="005609D4">
        <w:rPr>
          <w:rFonts w:ascii="Calibri" w:hAnsi="Calibri" w:cs="Calibri"/>
          <w:sz w:val="22"/>
          <w:szCs w:val="22"/>
        </w:rPr>
        <w:t>Verdecchia</w:t>
      </w:r>
      <w:proofErr w:type="spellEnd"/>
      <w:r w:rsidRPr="005609D4">
        <w:rPr>
          <w:rFonts w:ascii="Calibri" w:hAnsi="Calibri" w:cs="Calibri"/>
          <w:sz w:val="22"/>
          <w:szCs w:val="22"/>
        </w:rPr>
        <w:t xml:space="preserve">, A.  (2025, October 6).  </w:t>
      </w:r>
      <w:r w:rsidRPr="005609D4">
        <w:rPr>
          <w:rFonts w:ascii="Calibri" w:hAnsi="Calibri" w:cs="Calibri"/>
          <w:i/>
          <w:iCs/>
          <w:sz w:val="22"/>
          <w:szCs w:val="22"/>
        </w:rPr>
        <w:t xml:space="preserve">The uncertain future of Canadian postsecondary education: </w:t>
      </w:r>
    </w:p>
    <w:p w14:paraId="784439BF" w14:textId="2576C312"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i/>
          <w:iCs/>
          <w:sz w:val="22"/>
          <w:szCs w:val="22"/>
        </w:rPr>
        <w:t xml:space="preserve">Finances, enrolment shifts, mission drift, and the COVID generation.  </w:t>
      </w:r>
      <w:r w:rsidRPr="005609D4">
        <w:rPr>
          <w:rFonts w:ascii="Calibri" w:hAnsi="Calibri" w:cs="Calibri"/>
          <w:sz w:val="22"/>
          <w:szCs w:val="22"/>
        </w:rPr>
        <w:t xml:space="preserve">McDermott + Bull.  </w:t>
      </w:r>
      <w:hyperlink r:id="rId18" w:history="1">
        <w:r w:rsidR="00F57D7B" w:rsidRPr="005609D4">
          <w:rPr>
            <w:rStyle w:val="Hyperlink"/>
            <w:rFonts w:ascii="Calibri" w:hAnsi="Calibri" w:cs="Calibri"/>
            <w:sz w:val="22"/>
            <w:szCs w:val="22"/>
          </w:rPr>
          <w:t>https://mbexec.com/the-uncertain-future-of-canadian-postsecondary-education/</w:t>
        </w:r>
      </w:hyperlink>
    </w:p>
    <w:p w14:paraId="59591DAF" w14:textId="77777777" w:rsidR="00F57D7B" w:rsidRPr="005609D4" w:rsidRDefault="00F57D7B" w:rsidP="00F57D7B">
      <w:pPr>
        <w:spacing w:line="480" w:lineRule="auto"/>
        <w:ind w:left="720"/>
        <w:rPr>
          <w:rFonts w:ascii="Calibri" w:hAnsi="Calibri" w:cs="Calibri"/>
          <w:i/>
          <w:iCs/>
          <w:sz w:val="22"/>
          <w:szCs w:val="22"/>
        </w:rPr>
      </w:pPr>
    </w:p>
    <w:p w14:paraId="6C684A53" w14:textId="77777777" w:rsidR="002D748A" w:rsidRPr="005609D4" w:rsidRDefault="002D748A" w:rsidP="00F57D7B">
      <w:pPr>
        <w:spacing w:line="480" w:lineRule="auto"/>
        <w:rPr>
          <w:rFonts w:ascii="Calibri" w:hAnsi="Calibri" w:cs="Calibri"/>
          <w:sz w:val="22"/>
          <w:szCs w:val="22"/>
        </w:rPr>
      </w:pPr>
      <w:r w:rsidRPr="005609D4">
        <w:rPr>
          <w:rFonts w:ascii="Calibri" w:hAnsi="Calibri" w:cs="Calibri"/>
          <w:sz w:val="22"/>
          <w:szCs w:val="22"/>
        </w:rPr>
        <w:t xml:space="preserve"> </w:t>
      </w:r>
    </w:p>
    <w:p w14:paraId="5521B70D" w14:textId="77777777" w:rsidR="00F57D7B" w:rsidRPr="005609D4" w:rsidRDefault="002D748A" w:rsidP="00F57D7B">
      <w:pPr>
        <w:spacing w:line="480" w:lineRule="auto"/>
        <w:rPr>
          <w:rFonts w:ascii="Calibri" w:hAnsi="Calibri" w:cs="Calibri"/>
          <w:i/>
          <w:iCs/>
          <w:sz w:val="22"/>
          <w:szCs w:val="22"/>
        </w:rPr>
      </w:pPr>
      <w:r w:rsidRPr="005609D4">
        <w:rPr>
          <w:rFonts w:ascii="Calibri" w:hAnsi="Calibri" w:cs="Calibri"/>
          <w:sz w:val="22"/>
          <w:szCs w:val="22"/>
        </w:rPr>
        <w:t xml:space="preserve">Williams, M.  (2025, March 26).  </w:t>
      </w:r>
      <w:r w:rsidRPr="005609D4">
        <w:rPr>
          <w:rFonts w:ascii="Calibri" w:hAnsi="Calibri" w:cs="Calibri"/>
          <w:i/>
          <w:iCs/>
          <w:sz w:val="22"/>
          <w:szCs w:val="22"/>
        </w:rPr>
        <w:t xml:space="preserve">B.C.  post-secondary schools in crisis following widespread </w:t>
      </w:r>
    </w:p>
    <w:p w14:paraId="09A21FA8" w14:textId="7748E274"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i/>
          <w:iCs/>
          <w:sz w:val="22"/>
          <w:szCs w:val="22"/>
        </w:rPr>
        <w:lastRenderedPageBreak/>
        <w:t xml:space="preserve">faculty layoffs.  </w:t>
      </w:r>
      <w:r w:rsidRPr="005609D4">
        <w:rPr>
          <w:rFonts w:ascii="Calibri" w:hAnsi="Calibri" w:cs="Calibri"/>
          <w:sz w:val="22"/>
          <w:szCs w:val="22"/>
        </w:rPr>
        <w:t xml:space="preserve">City News Everywhere.  </w:t>
      </w:r>
      <w:hyperlink r:id="rId19" w:history="1">
        <w:r w:rsidR="00F57D7B" w:rsidRPr="005609D4">
          <w:rPr>
            <w:rStyle w:val="Hyperlink"/>
            <w:rFonts w:ascii="Calibri" w:hAnsi="Calibri" w:cs="Calibri"/>
            <w:sz w:val="22"/>
            <w:szCs w:val="22"/>
          </w:rPr>
          <w:t>https://vancouver.citynews.ca/2025/03/26/bc-</w:t>
        </w:r>
      </w:hyperlink>
      <w:r w:rsidRPr="005609D4">
        <w:rPr>
          <w:rFonts w:ascii="Calibri" w:hAnsi="Calibri" w:cs="Calibri"/>
          <w:sz w:val="22"/>
          <w:szCs w:val="22"/>
        </w:rPr>
        <w:t>universities-colleges-facing-layoffs/</w:t>
      </w:r>
    </w:p>
    <w:p w14:paraId="1F956E2D" w14:textId="77777777" w:rsidR="00F57D7B" w:rsidRPr="005609D4" w:rsidRDefault="002D748A" w:rsidP="00F57D7B">
      <w:pPr>
        <w:spacing w:line="480" w:lineRule="auto"/>
        <w:rPr>
          <w:rFonts w:ascii="Calibri" w:hAnsi="Calibri" w:cs="Calibri"/>
          <w:color w:val="032436"/>
          <w:sz w:val="22"/>
          <w:szCs w:val="22"/>
          <w:highlight w:val="white"/>
        </w:rPr>
      </w:pPr>
      <w:proofErr w:type="spellStart"/>
      <w:r w:rsidRPr="005609D4">
        <w:rPr>
          <w:rFonts w:ascii="Calibri" w:hAnsi="Calibri" w:cs="Calibri"/>
          <w:color w:val="032436"/>
          <w:sz w:val="22"/>
          <w:szCs w:val="22"/>
          <w:highlight w:val="white"/>
        </w:rPr>
        <w:t>Zegwaard</w:t>
      </w:r>
      <w:proofErr w:type="spellEnd"/>
      <w:r w:rsidRPr="005609D4">
        <w:rPr>
          <w:rFonts w:ascii="Calibri" w:hAnsi="Calibri" w:cs="Calibri"/>
          <w:color w:val="032436"/>
          <w:sz w:val="22"/>
          <w:szCs w:val="22"/>
          <w:highlight w:val="white"/>
        </w:rPr>
        <w:t xml:space="preserve">, K.  E., </w:t>
      </w:r>
      <w:proofErr w:type="spellStart"/>
      <w:r w:rsidRPr="005609D4">
        <w:rPr>
          <w:rFonts w:ascii="Calibri" w:hAnsi="Calibri" w:cs="Calibri"/>
          <w:color w:val="032436"/>
          <w:sz w:val="22"/>
          <w:szCs w:val="22"/>
          <w:highlight w:val="white"/>
        </w:rPr>
        <w:t>Pretti</w:t>
      </w:r>
      <w:proofErr w:type="spellEnd"/>
      <w:r w:rsidRPr="005609D4">
        <w:rPr>
          <w:rFonts w:ascii="Calibri" w:hAnsi="Calibri" w:cs="Calibri"/>
          <w:color w:val="032436"/>
          <w:sz w:val="22"/>
          <w:szCs w:val="22"/>
          <w:highlight w:val="white"/>
        </w:rPr>
        <w:t xml:space="preserve">, T.  J., Rowe, A.  D., &amp; Ferns, S.  J.  (2023).  Defining work-integrated </w:t>
      </w:r>
    </w:p>
    <w:p w14:paraId="2BA5350B" w14:textId="19EFCCED" w:rsidR="002D748A" w:rsidRPr="005609D4" w:rsidRDefault="002D748A" w:rsidP="00F57D7B">
      <w:pPr>
        <w:spacing w:line="480" w:lineRule="auto"/>
        <w:ind w:left="720"/>
        <w:rPr>
          <w:rFonts w:ascii="Calibri" w:hAnsi="Calibri" w:cs="Calibri"/>
          <w:sz w:val="22"/>
          <w:szCs w:val="22"/>
        </w:rPr>
      </w:pPr>
      <w:r w:rsidRPr="005609D4">
        <w:rPr>
          <w:rFonts w:ascii="Calibri" w:hAnsi="Calibri" w:cs="Calibri"/>
          <w:color w:val="032436"/>
          <w:sz w:val="22"/>
          <w:szCs w:val="22"/>
          <w:highlight w:val="white"/>
        </w:rPr>
        <w:t xml:space="preserve">learning.  In K.  E.  </w:t>
      </w:r>
      <w:proofErr w:type="spellStart"/>
      <w:r w:rsidRPr="005609D4">
        <w:rPr>
          <w:rFonts w:ascii="Calibri" w:hAnsi="Calibri" w:cs="Calibri"/>
          <w:color w:val="032436"/>
          <w:sz w:val="22"/>
          <w:szCs w:val="22"/>
          <w:highlight w:val="white"/>
        </w:rPr>
        <w:t>Zegwaard</w:t>
      </w:r>
      <w:proofErr w:type="spellEnd"/>
      <w:r w:rsidRPr="005609D4">
        <w:rPr>
          <w:rFonts w:ascii="Calibri" w:hAnsi="Calibri" w:cs="Calibri"/>
          <w:color w:val="032436"/>
          <w:sz w:val="22"/>
          <w:szCs w:val="22"/>
          <w:highlight w:val="white"/>
        </w:rPr>
        <w:t xml:space="preserve"> &amp; T.  J.  </w:t>
      </w:r>
      <w:proofErr w:type="spellStart"/>
      <w:r w:rsidRPr="005609D4">
        <w:rPr>
          <w:rFonts w:ascii="Calibri" w:hAnsi="Calibri" w:cs="Calibri"/>
          <w:color w:val="032436"/>
          <w:sz w:val="22"/>
          <w:szCs w:val="22"/>
          <w:highlight w:val="white"/>
        </w:rPr>
        <w:t>Pretti</w:t>
      </w:r>
      <w:proofErr w:type="spellEnd"/>
      <w:r w:rsidRPr="005609D4">
        <w:rPr>
          <w:rFonts w:ascii="Calibri" w:hAnsi="Calibri" w:cs="Calibri"/>
          <w:color w:val="032436"/>
          <w:sz w:val="22"/>
          <w:szCs w:val="22"/>
          <w:highlight w:val="white"/>
        </w:rPr>
        <w:t xml:space="preserve"> (Eds.), </w:t>
      </w:r>
      <w:r w:rsidRPr="005609D4">
        <w:rPr>
          <w:rFonts w:ascii="Calibri" w:hAnsi="Calibri" w:cs="Calibri"/>
          <w:i/>
          <w:iCs/>
          <w:color w:val="032436"/>
          <w:sz w:val="22"/>
          <w:szCs w:val="22"/>
        </w:rPr>
        <w:t>The Routledge international handbook of work-integrated learning</w:t>
      </w:r>
      <w:r w:rsidRPr="005609D4">
        <w:rPr>
          <w:rFonts w:ascii="Calibri" w:hAnsi="Calibri" w:cs="Calibri"/>
          <w:color w:val="032436"/>
          <w:sz w:val="22"/>
          <w:szCs w:val="22"/>
          <w:highlight w:val="white"/>
        </w:rPr>
        <w:t xml:space="preserve"> (3rd ed., pp.  29-48).  Routledge.</w:t>
      </w:r>
    </w:p>
    <w:p w14:paraId="7BF0A5A2" w14:textId="77777777" w:rsidR="002D748A" w:rsidRPr="005609D4" w:rsidRDefault="002D748A" w:rsidP="00A01A6F">
      <w:pPr>
        <w:spacing w:line="480" w:lineRule="auto"/>
        <w:rPr>
          <w:rFonts w:ascii="Calibri" w:hAnsi="Calibri" w:cs="Calibri"/>
          <w:b/>
          <w:bCs/>
          <w:sz w:val="22"/>
          <w:szCs w:val="22"/>
          <w:lang w:val="en-US"/>
        </w:rPr>
      </w:pPr>
    </w:p>
    <w:p w14:paraId="5A0F325C" w14:textId="77777777" w:rsidR="002D748A" w:rsidRPr="005609D4" w:rsidRDefault="002D748A" w:rsidP="00A01A6F">
      <w:pPr>
        <w:spacing w:line="480" w:lineRule="auto"/>
        <w:rPr>
          <w:rFonts w:ascii="Calibri" w:hAnsi="Calibri" w:cs="Calibri"/>
          <w:b/>
          <w:bCs/>
          <w:sz w:val="22"/>
          <w:szCs w:val="22"/>
          <w:lang w:val="en-US"/>
        </w:rPr>
      </w:pPr>
    </w:p>
    <w:sectPr w:rsidR="002D748A" w:rsidRPr="005609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A6F"/>
    <w:rsid w:val="002D748A"/>
    <w:rsid w:val="005609D4"/>
    <w:rsid w:val="006631A0"/>
    <w:rsid w:val="00A01A6F"/>
    <w:rsid w:val="00BA671D"/>
    <w:rsid w:val="00BE69B9"/>
    <w:rsid w:val="00D11CE4"/>
    <w:rsid w:val="00F57D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FE6798B"/>
  <w15:chartTrackingRefBased/>
  <w15:docId w15:val="{3496226E-363D-FE45-A503-FA8DE5A5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48A"/>
    <w:pPr>
      <w:keepNext/>
      <w:keepLines/>
      <w:spacing w:before="400" w:after="120" w:line="276" w:lineRule="auto"/>
      <w:outlineLvl w:val="0"/>
    </w:pPr>
    <w:rPr>
      <w:rFonts w:ascii="Arial" w:eastAsia="Arial" w:hAnsi="Arial" w:cs="Arial"/>
      <w:kern w:val="0"/>
      <w:sz w:val="40"/>
      <w:szCs w:val="4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48A"/>
    <w:rPr>
      <w:rFonts w:ascii="Arial" w:eastAsia="Arial" w:hAnsi="Arial" w:cs="Arial"/>
      <w:kern w:val="0"/>
      <w:sz w:val="40"/>
      <w:szCs w:val="40"/>
      <w:lang w:val="en"/>
      <w14:ligatures w14:val="none"/>
    </w:rPr>
  </w:style>
  <w:style w:type="character" w:styleId="Hyperlink">
    <w:name w:val="Hyperlink"/>
    <w:basedOn w:val="DefaultParagraphFont"/>
    <w:uiPriority w:val="99"/>
    <w:unhideWhenUsed/>
    <w:rsid w:val="00F57D7B"/>
    <w:rPr>
      <w:color w:val="0563C1" w:themeColor="hyperlink"/>
      <w:u w:val="single"/>
    </w:rPr>
  </w:style>
  <w:style w:type="character" w:styleId="UnresolvedMention">
    <w:name w:val="Unresolved Mention"/>
    <w:basedOn w:val="DefaultParagraphFont"/>
    <w:uiPriority w:val="99"/>
    <w:semiHidden/>
    <w:unhideWhenUsed/>
    <w:rsid w:val="00F57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7294360.2022.2048638" TargetMode="External"/><Relationship Id="rId13" Type="http://schemas.openxmlformats.org/officeDocument/2006/relationships/hyperlink" Target="https://bher.ca/article/2022/09/the-government-of-canada-renews-its-investments-in-the-business-higher-education-roundtable" TargetMode="External"/><Relationship Id="rId18" Type="http://schemas.openxmlformats.org/officeDocument/2006/relationships/hyperlink" Target="https://mbexec.com/the-uncertain-future-of-canadian-postsecondary-education/"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httparchive.org/reports/state-of-theweb?start=2020_10_01&amp;end=2026_01_01&amp;view=list" TargetMode="External"/><Relationship Id="rId12" Type="http://schemas.openxmlformats.org/officeDocument/2006/relationships/hyperlink" Target="https://bsc.cid.harvard.edu/publications/process-and-implementation-evaluations-a-primer/" TargetMode="External"/><Relationship Id="rId17" Type="http://schemas.openxmlformats.org/officeDocument/2006/relationships/hyperlink" Target="https://higheredstrategy.com/to-2038/" TargetMode="External"/><Relationship Id="rId2" Type="http://schemas.openxmlformats.org/officeDocument/2006/relationships/settings" Target="settings.xml"/><Relationship Id="rId16" Type="http://schemas.openxmlformats.org/officeDocument/2006/relationships/hyperlink" Target="https://univcan.ca/publication/universities-canadas-commitments-to-"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ontario.ca/page/college-and-university-strategic-mandate-agreements-2020-2025" TargetMode="External"/><Relationship Id="rId11" Type="http://schemas.openxmlformats.org/officeDocument/2006/relationships/hyperlink" Target="http://hdl.handle.net/1807/111097" TargetMode="External"/><Relationship Id="rId5" Type="http://schemas.openxmlformats.org/officeDocument/2006/relationships/hyperlink" Target="https://www2.gov.bc.ca/gov/content/education-training/post-secondary-education/institution-resources-administration/mandate-letters" TargetMode="External"/><Relationship Id="rId15" Type="http://schemas.openxmlformats.org/officeDocument/2006/relationships/hyperlink" Target="https://open.canada.ca/data/en/dataset/a0695506-dcdf-415e-970e-05ddff4cf523" TargetMode="External"/><Relationship Id="rId10" Type="http://schemas.openxmlformats.org/officeDocument/2006/relationships/hyperlink" Target="https://ontariosuniversities.ca/wp-content/uploads/2014/03/COU-Experiential-Learning-Report-2014.pdf" TargetMode="External"/><Relationship Id="rId19" Type="http://schemas.openxmlformats.org/officeDocument/2006/relationships/hyperlink" Target="https://vancouver.citynews.ca/2025/03/26/bc-" TargetMode="External"/><Relationship Id="rId4" Type="http://schemas.openxmlformats.org/officeDocument/2006/relationships/image" Target="media/image1.jpg"/><Relationship Id="rId9" Type="http://schemas.openxmlformats.org/officeDocument/2006/relationships/hyperlink" Target="https://kpmg.com/ca/en/home/media/press-releases/2025/10/generative-ai-boom-among-canadian-stu%09dents-raises-dilemmas.html" TargetMode="External"/><Relationship Id="rId14" Type="http://schemas.openxmlformats.org/officeDocument/2006/relationships/hyperlink" Target="https://www150.statcan.gc.ca/n1/pub/45-28-0001/2020001/article/00015-e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4909</Words>
  <Characters>27987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Godden</dc:creator>
  <cp:keywords/>
  <dc:description/>
  <cp:lastModifiedBy>Lorraine Godden</cp:lastModifiedBy>
  <cp:revision>2</cp:revision>
  <dcterms:created xsi:type="dcterms:W3CDTF">2026-04-14T22:27:00Z</dcterms:created>
  <dcterms:modified xsi:type="dcterms:W3CDTF">2026-04-14T22:27:00Z</dcterms:modified>
</cp:coreProperties>
</file>