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10DA7C" w14:textId="4371016B" w:rsidR="000D3262" w:rsidRPr="001C50E0" w:rsidRDefault="000D3262" w:rsidP="001C50E0">
      <w:pPr>
        <w:pStyle w:val="ListParagraph"/>
        <w:numPr>
          <w:ilvl w:val="0"/>
          <w:numId w:val="4"/>
        </w:numPr>
        <w:spacing w:after="0" w:line="360" w:lineRule="auto"/>
        <w:jc w:val="both"/>
        <w:rPr>
          <w:b/>
          <w:bCs/>
          <w:sz w:val="22"/>
          <w:szCs w:val="22"/>
        </w:rPr>
      </w:pPr>
      <w:r w:rsidRPr="001C50E0">
        <w:rPr>
          <w:b/>
          <w:bCs/>
          <w:sz w:val="22"/>
          <w:szCs w:val="22"/>
        </w:rPr>
        <w:t xml:space="preserve">Author’s Name: </w:t>
      </w:r>
      <w:r w:rsidRPr="001C50E0">
        <w:rPr>
          <w:sz w:val="22"/>
          <w:szCs w:val="22"/>
        </w:rPr>
        <w:t>Kumar, Sachin</w:t>
      </w:r>
    </w:p>
    <w:p w14:paraId="5F63D262" w14:textId="23BE2185" w:rsidR="000D3262" w:rsidRPr="001C50E0" w:rsidRDefault="000D3262" w:rsidP="001C50E0">
      <w:pPr>
        <w:pStyle w:val="ListParagraph"/>
        <w:numPr>
          <w:ilvl w:val="0"/>
          <w:numId w:val="4"/>
        </w:numPr>
        <w:spacing w:after="0" w:line="360" w:lineRule="auto"/>
        <w:jc w:val="both"/>
        <w:rPr>
          <w:sz w:val="22"/>
          <w:szCs w:val="22"/>
        </w:rPr>
      </w:pPr>
      <w:r w:rsidRPr="001C50E0">
        <w:rPr>
          <w:b/>
          <w:bCs/>
          <w:sz w:val="22"/>
          <w:szCs w:val="22"/>
        </w:rPr>
        <w:t xml:space="preserve">Title/Position: </w:t>
      </w:r>
      <w:r w:rsidRPr="001C50E0">
        <w:rPr>
          <w:sz w:val="22"/>
          <w:szCs w:val="22"/>
        </w:rPr>
        <w:t>Principal</w:t>
      </w:r>
    </w:p>
    <w:p w14:paraId="5F5677F6" w14:textId="433E38F0" w:rsidR="000D3262" w:rsidRPr="001C50E0" w:rsidRDefault="000D3262" w:rsidP="001C50E0">
      <w:pPr>
        <w:pStyle w:val="ListParagraph"/>
        <w:numPr>
          <w:ilvl w:val="0"/>
          <w:numId w:val="4"/>
        </w:numPr>
        <w:spacing w:after="0" w:line="360" w:lineRule="auto"/>
        <w:jc w:val="both"/>
        <w:rPr>
          <w:b/>
          <w:bCs/>
          <w:sz w:val="22"/>
          <w:szCs w:val="22"/>
        </w:rPr>
      </w:pPr>
      <w:r w:rsidRPr="001C50E0">
        <w:rPr>
          <w:b/>
          <w:bCs/>
          <w:sz w:val="22"/>
          <w:szCs w:val="22"/>
        </w:rPr>
        <w:t xml:space="preserve">Email: </w:t>
      </w:r>
      <w:hyperlink r:id="rId5" w:history="1">
        <w:r w:rsidRPr="001C50E0">
          <w:rPr>
            <w:rStyle w:val="Hyperlink"/>
            <w:b/>
            <w:bCs/>
            <w:sz w:val="22"/>
            <w:szCs w:val="22"/>
          </w:rPr>
          <w:t>samparksachin@gmail.com</w:t>
        </w:r>
      </w:hyperlink>
    </w:p>
    <w:p w14:paraId="7B09B103" w14:textId="45F5A5B3" w:rsidR="000D3262" w:rsidRPr="001C50E0" w:rsidRDefault="000D3262" w:rsidP="001C50E0">
      <w:pPr>
        <w:pStyle w:val="ListParagraph"/>
        <w:numPr>
          <w:ilvl w:val="0"/>
          <w:numId w:val="4"/>
        </w:numPr>
        <w:spacing w:after="0" w:line="360" w:lineRule="auto"/>
        <w:jc w:val="both"/>
        <w:rPr>
          <w:sz w:val="22"/>
          <w:szCs w:val="22"/>
        </w:rPr>
      </w:pPr>
      <w:r w:rsidRPr="001C50E0">
        <w:rPr>
          <w:b/>
          <w:bCs/>
          <w:sz w:val="22"/>
          <w:szCs w:val="22"/>
        </w:rPr>
        <w:t xml:space="preserve">Institution: </w:t>
      </w:r>
      <w:r w:rsidRPr="001C50E0">
        <w:rPr>
          <w:sz w:val="22"/>
          <w:szCs w:val="22"/>
        </w:rPr>
        <w:t>Wazir Ram Singh Government College, Dehri, Kangra, Himachal Pradesh, India</w:t>
      </w:r>
      <w:r w:rsidRPr="001C50E0">
        <w:rPr>
          <w:b/>
          <w:bCs/>
          <w:sz w:val="22"/>
          <w:szCs w:val="22"/>
        </w:rPr>
        <w:t xml:space="preserve"> </w:t>
      </w:r>
    </w:p>
    <w:p w14:paraId="4FBCA606" w14:textId="24AE86E9" w:rsidR="000D3262" w:rsidRPr="001C50E0" w:rsidRDefault="000D3262" w:rsidP="00CA4F5E">
      <w:pPr>
        <w:pStyle w:val="ListParagraph"/>
        <w:numPr>
          <w:ilvl w:val="0"/>
          <w:numId w:val="4"/>
        </w:numPr>
        <w:spacing w:after="0" w:line="360" w:lineRule="auto"/>
        <w:jc w:val="both"/>
        <w:rPr>
          <w:sz w:val="22"/>
          <w:szCs w:val="22"/>
        </w:rPr>
      </w:pPr>
      <w:r w:rsidRPr="001C50E0">
        <w:rPr>
          <w:b/>
          <w:bCs/>
          <w:sz w:val="22"/>
          <w:szCs w:val="22"/>
        </w:rPr>
        <w:t>Title of paper</w:t>
      </w:r>
      <w:r w:rsidR="001C50E0">
        <w:rPr>
          <w:b/>
          <w:bCs/>
          <w:sz w:val="22"/>
          <w:szCs w:val="22"/>
        </w:rPr>
        <w:t>:</w:t>
      </w:r>
      <w:r w:rsidRPr="001C50E0">
        <w:rPr>
          <w:sz w:val="22"/>
          <w:szCs w:val="22"/>
        </w:rPr>
        <w:t xml:space="preserve"> From </w:t>
      </w:r>
      <w:r w:rsidRPr="001C50E0">
        <w:rPr>
          <w:i/>
          <w:iCs/>
          <w:sz w:val="22"/>
          <w:szCs w:val="22"/>
        </w:rPr>
        <w:t>Svabhava</w:t>
      </w:r>
      <w:r w:rsidRPr="001C50E0">
        <w:rPr>
          <w:sz w:val="22"/>
          <w:szCs w:val="22"/>
        </w:rPr>
        <w:t xml:space="preserve"> to </w:t>
      </w:r>
      <w:r w:rsidRPr="001C50E0">
        <w:rPr>
          <w:i/>
          <w:iCs/>
          <w:sz w:val="22"/>
          <w:szCs w:val="22"/>
        </w:rPr>
        <w:t>Svadharma</w:t>
      </w:r>
      <w:r w:rsidRPr="001C50E0">
        <w:rPr>
          <w:sz w:val="22"/>
          <w:szCs w:val="22"/>
        </w:rPr>
        <w:t>: An Indian Philosophical Lens on Career Development</w:t>
      </w:r>
    </w:p>
    <w:p w14:paraId="3DE116DE" w14:textId="77777777" w:rsidR="000D3262" w:rsidRPr="00CA4F5E" w:rsidRDefault="000D3262" w:rsidP="001C50E0">
      <w:pPr>
        <w:numPr>
          <w:ilvl w:val="0"/>
          <w:numId w:val="4"/>
        </w:numPr>
        <w:spacing w:after="0" w:line="360" w:lineRule="auto"/>
        <w:jc w:val="both"/>
        <w:rPr>
          <w:b/>
          <w:bCs/>
          <w:sz w:val="22"/>
          <w:szCs w:val="22"/>
        </w:rPr>
      </w:pPr>
      <w:r w:rsidRPr="001C50E0">
        <w:rPr>
          <w:b/>
          <w:bCs/>
          <w:sz w:val="22"/>
          <w:szCs w:val="22"/>
        </w:rPr>
        <w:t xml:space="preserve">Conference </w:t>
      </w:r>
      <w:r w:rsidRPr="001C50E0">
        <w:rPr>
          <w:b/>
          <w:bCs/>
          <w:sz w:val="22"/>
          <w:szCs w:val="22"/>
        </w:rPr>
        <w:t>theme</w:t>
      </w:r>
      <w:r w:rsidRPr="001C50E0">
        <w:rPr>
          <w:b/>
          <w:bCs/>
          <w:sz w:val="22"/>
          <w:szCs w:val="22"/>
        </w:rPr>
        <w:t xml:space="preserve"> this paper i</w:t>
      </w:r>
      <w:r w:rsidRPr="001C50E0">
        <w:rPr>
          <w:b/>
          <w:bCs/>
          <w:sz w:val="22"/>
          <w:szCs w:val="22"/>
        </w:rPr>
        <w:t>s linked to</w:t>
      </w:r>
      <w:r w:rsidRPr="00CA4F5E">
        <w:rPr>
          <w:sz w:val="22"/>
          <w:szCs w:val="22"/>
        </w:rPr>
        <w:t xml:space="preserve">: </w:t>
      </w:r>
      <w:r w:rsidRPr="001C50E0">
        <w:rPr>
          <w:sz w:val="22"/>
          <w:szCs w:val="22"/>
        </w:rPr>
        <w:t>Indigenous Knowledge – Pōhutukawa</w:t>
      </w:r>
    </w:p>
    <w:p w14:paraId="3874823E" w14:textId="5D44856A" w:rsidR="000D3262" w:rsidRPr="00CA4F5E" w:rsidRDefault="000D3262" w:rsidP="001C50E0">
      <w:pPr>
        <w:numPr>
          <w:ilvl w:val="0"/>
          <w:numId w:val="4"/>
        </w:numPr>
        <w:spacing w:after="0" w:line="360" w:lineRule="auto"/>
        <w:jc w:val="both"/>
        <w:rPr>
          <w:sz w:val="22"/>
          <w:szCs w:val="22"/>
        </w:rPr>
      </w:pPr>
      <w:r w:rsidRPr="001C50E0">
        <w:rPr>
          <w:b/>
          <w:bCs/>
          <w:sz w:val="22"/>
          <w:szCs w:val="22"/>
        </w:rPr>
        <w:t>Presentation language at the conference</w:t>
      </w:r>
      <w:r w:rsidRPr="00CA4F5E">
        <w:rPr>
          <w:sz w:val="22"/>
          <w:szCs w:val="22"/>
        </w:rPr>
        <w:t xml:space="preserve">: English </w:t>
      </w:r>
    </w:p>
    <w:p w14:paraId="68B5604F" w14:textId="04343511" w:rsidR="000D3262" w:rsidRPr="001C50E0" w:rsidRDefault="000D3262" w:rsidP="00CA4F5E">
      <w:pPr>
        <w:numPr>
          <w:ilvl w:val="0"/>
          <w:numId w:val="2"/>
        </w:numPr>
        <w:spacing w:after="0" w:line="360" w:lineRule="auto"/>
        <w:jc w:val="both"/>
        <w:rPr>
          <w:b/>
          <w:bCs/>
          <w:sz w:val="22"/>
          <w:szCs w:val="22"/>
        </w:rPr>
      </w:pPr>
      <w:r w:rsidRPr="001C50E0">
        <w:rPr>
          <w:b/>
          <w:bCs/>
          <w:sz w:val="22"/>
          <w:szCs w:val="22"/>
        </w:rPr>
        <w:t>Abstract</w:t>
      </w:r>
      <w:r w:rsidR="001C50E0" w:rsidRPr="001C50E0">
        <w:rPr>
          <w:b/>
          <w:bCs/>
          <w:sz w:val="22"/>
          <w:szCs w:val="22"/>
        </w:rPr>
        <w:t xml:space="preserve">: </w:t>
      </w:r>
    </w:p>
    <w:p w14:paraId="7D541EA9" w14:textId="77777777" w:rsidR="000D3262" w:rsidRPr="00CA4F5E" w:rsidRDefault="000D3262" w:rsidP="00CA4F5E">
      <w:pPr>
        <w:spacing w:after="0" w:line="360" w:lineRule="auto"/>
        <w:jc w:val="both"/>
        <w:rPr>
          <w:b/>
          <w:bCs/>
          <w:sz w:val="22"/>
          <w:szCs w:val="22"/>
        </w:rPr>
      </w:pPr>
      <w:r w:rsidRPr="00CA4F5E">
        <w:rPr>
          <w:b/>
          <w:bCs/>
          <w:sz w:val="22"/>
          <w:szCs w:val="22"/>
        </w:rPr>
        <w:t>Introduction</w:t>
      </w:r>
    </w:p>
    <w:p w14:paraId="067D398E" w14:textId="77777777" w:rsidR="00606218" w:rsidRPr="00606218" w:rsidRDefault="00606218" w:rsidP="00606218">
      <w:pPr>
        <w:spacing w:after="0" w:line="360" w:lineRule="auto"/>
        <w:jc w:val="both"/>
        <w:rPr>
          <w:sz w:val="22"/>
          <w:szCs w:val="22"/>
        </w:rPr>
      </w:pPr>
      <w:r w:rsidRPr="00606218">
        <w:rPr>
          <w:sz w:val="22"/>
          <w:szCs w:val="22"/>
        </w:rPr>
        <w:t>Career guidance theory and practice have largely evolved within Euro-American psychological traditions emphasising individual interests, abilities, and labour market decision-making (Brown &amp; Lent, 2013; Savickas, 2013). Scholars increasingly call for engagement with indigenous knowledge systems and culturally grounded epistemologies to broaden the conceptual foundations of career guidance (Guichard, 2013; Blustein, 2019).</w:t>
      </w:r>
    </w:p>
    <w:p w14:paraId="0D15B3F6" w14:textId="77777777" w:rsidR="00606218" w:rsidRPr="00606218" w:rsidRDefault="00606218" w:rsidP="00606218">
      <w:pPr>
        <w:spacing w:after="0" w:line="360" w:lineRule="auto"/>
        <w:jc w:val="both"/>
        <w:rPr>
          <w:sz w:val="22"/>
          <w:szCs w:val="22"/>
        </w:rPr>
      </w:pPr>
      <w:r w:rsidRPr="00606218">
        <w:rPr>
          <w:sz w:val="22"/>
          <w:szCs w:val="22"/>
        </w:rPr>
        <w:t xml:space="preserve">Career guidance is commonly understood as helping individuals choose an occupation. Indian philosophical traditions invite a different perspective: helping individuals align their nature with their rightful path of action. The ideas of Svabhava (intrinsic nature or disposition) and Svadharma (one’s rightful path of action) provide a lens for understanding the relationship between self-knowledge and meaningful work. Classical sources such as the </w:t>
      </w:r>
      <w:r w:rsidRPr="00606218">
        <w:rPr>
          <w:i/>
          <w:iCs/>
          <w:sz w:val="22"/>
          <w:szCs w:val="22"/>
        </w:rPr>
        <w:t>Bhagavad Gita</w:t>
      </w:r>
      <w:r w:rsidRPr="00606218">
        <w:rPr>
          <w:sz w:val="22"/>
          <w:szCs w:val="22"/>
        </w:rPr>
        <w:t xml:space="preserve"> emphasise that acting according to one’s own nature is preferable to imitating another’s role (Bhagavad Gita 3.35; 18.47). Contemporary interpretations view this relationship not as a deterministic claim about fixed nature, but as a dynamic alignment between personal dispositions and meaningful work.</w:t>
      </w:r>
    </w:p>
    <w:p w14:paraId="14A5A0C3" w14:textId="77777777" w:rsidR="00606218" w:rsidRPr="00606218" w:rsidRDefault="00606218" w:rsidP="00606218">
      <w:pPr>
        <w:spacing w:after="0" w:line="360" w:lineRule="auto"/>
        <w:jc w:val="both"/>
        <w:rPr>
          <w:sz w:val="22"/>
          <w:szCs w:val="22"/>
        </w:rPr>
      </w:pPr>
      <w:r w:rsidRPr="00606218">
        <w:rPr>
          <w:sz w:val="22"/>
          <w:szCs w:val="22"/>
        </w:rPr>
        <w:t>This study contributes in two ways. Conceptually, it introduces the relationship between Svabhava and Svadharma as an indigenous philosophical framework for understanding alignment between intrinsic disposition and meaningful work. Practically, it proposes a developmental alignment model to inform reflective career guidance and culturally responsive career counselling.</w:t>
      </w:r>
    </w:p>
    <w:p w14:paraId="3BDF2C9A" w14:textId="77777777" w:rsidR="00853DF5" w:rsidRPr="00CA4F5E" w:rsidRDefault="00853DF5" w:rsidP="00CA4F5E">
      <w:pPr>
        <w:spacing w:after="0" w:line="360" w:lineRule="auto"/>
        <w:jc w:val="both"/>
        <w:rPr>
          <w:b/>
          <w:bCs/>
          <w:sz w:val="22"/>
          <w:szCs w:val="22"/>
        </w:rPr>
      </w:pPr>
    </w:p>
    <w:p w14:paraId="0918F78F" w14:textId="26A24FE1" w:rsidR="000D3262" w:rsidRPr="00CA4F5E" w:rsidRDefault="000D3262" w:rsidP="00CA4F5E">
      <w:pPr>
        <w:spacing w:after="0" w:line="360" w:lineRule="auto"/>
        <w:jc w:val="both"/>
        <w:rPr>
          <w:b/>
          <w:bCs/>
          <w:sz w:val="22"/>
          <w:szCs w:val="22"/>
        </w:rPr>
      </w:pPr>
      <w:r w:rsidRPr="00CA4F5E">
        <w:rPr>
          <w:b/>
          <w:bCs/>
          <w:sz w:val="22"/>
          <w:szCs w:val="22"/>
        </w:rPr>
        <w:t>Objectives</w:t>
      </w:r>
    </w:p>
    <w:p w14:paraId="1DDDCF8A" w14:textId="77777777" w:rsidR="000D3262" w:rsidRPr="00CA4F5E" w:rsidRDefault="000D3262" w:rsidP="00CA4F5E">
      <w:pPr>
        <w:spacing w:after="0" w:line="360" w:lineRule="auto"/>
        <w:jc w:val="both"/>
        <w:rPr>
          <w:sz w:val="22"/>
          <w:szCs w:val="22"/>
        </w:rPr>
      </w:pPr>
      <w:r w:rsidRPr="00CA4F5E">
        <w:rPr>
          <w:sz w:val="22"/>
          <w:szCs w:val="22"/>
        </w:rPr>
        <w:t>The paper aims to:</w:t>
      </w:r>
    </w:p>
    <w:p w14:paraId="616FA983" w14:textId="77777777" w:rsidR="000D3262" w:rsidRPr="00CA4F5E" w:rsidRDefault="000D3262" w:rsidP="00CA4F5E">
      <w:pPr>
        <w:numPr>
          <w:ilvl w:val="0"/>
          <w:numId w:val="3"/>
        </w:numPr>
        <w:spacing w:after="0" w:line="360" w:lineRule="auto"/>
        <w:jc w:val="both"/>
        <w:rPr>
          <w:sz w:val="22"/>
          <w:szCs w:val="22"/>
        </w:rPr>
      </w:pPr>
      <w:r w:rsidRPr="00CA4F5E">
        <w:rPr>
          <w:sz w:val="22"/>
          <w:szCs w:val="22"/>
        </w:rPr>
        <w:t xml:space="preserve">Examine the philosophical roots and meanings of </w:t>
      </w:r>
      <w:r w:rsidRPr="00CA4F5E">
        <w:rPr>
          <w:i/>
          <w:iCs/>
          <w:sz w:val="22"/>
          <w:szCs w:val="22"/>
        </w:rPr>
        <w:t>Svabhava</w:t>
      </w:r>
      <w:r w:rsidRPr="00CA4F5E">
        <w:rPr>
          <w:sz w:val="22"/>
          <w:szCs w:val="22"/>
        </w:rPr>
        <w:t xml:space="preserve"> and </w:t>
      </w:r>
      <w:r w:rsidRPr="00CA4F5E">
        <w:rPr>
          <w:i/>
          <w:iCs/>
          <w:sz w:val="22"/>
          <w:szCs w:val="22"/>
        </w:rPr>
        <w:t>Svadharma</w:t>
      </w:r>
      <w:r w:rsidRPr="00CA4F5E">
        <w:rPr>
          <w:sz w:val="22"/>
          <w:szCs w:val="22"/>
        </w:rPr>
        <w:t xml:space="preserve"> in Indian philosophical traditions. </w:t>
      </w:r>
    </w:p>
    <w:p w14:paraId="13C6F244" w14:textId="77777777" w:rsidR="000D3262" w:rsidRPr="00CA4F5E" w:rsidRDefault="000D3262" w:rsidP="00CA4F5E">
      <w:pPr>
        <w:numPr>
          <w:ilvl w:val="0"/>
          <w:numId w:val="3"/>
        </w:numPr>
        <w:spacing w:after="0" w:line="360" w:lineRule="auto"/>
        <w:jc w:val="both"/>
        <w:rPr>
          <w:sz w:val="22"/>
          <w:szCs w:val="22"/>
        </w:rPr>
      </w:pPr>
      <w:r w:rsidRPr="00CA4F5E">
        <w:rPr>
          <w:sz w:val="22"/>
          <w:szCs w:val="22"/>
        </w:rPr>
        <w:t xml:space="preserve">Translate these concepts into constructs relevant to contemporary career development theory. </w:t>
      </w:r>
    </w:p>
    <w:p w14:paraId="5248CEDA" w14:textId="77777777" w:rsidR="000D3262" w:rsidRPr="00CA4F5E" w:rsidRDefault="000D3262" w:rsidP="00CA4F5E">
      <w:pPr>
        <w:numPr>
          <w:ilvl w:val="0"/>
          <w:numId w:val="3"/>
        </w:numPr>
        <w:spacing w:after="0" w:line="360" w:lineRule="auto"/>
        <w:jc w:val="both"/>
        <w:rPr>
          <w:sz w:val="22"/>
          <w:szCs w:val="22"/>
        </w:rPr>
      </w:pPr>
      <w:r w:rsidRPr="00CA4F5E">
        <w:rPr>
          <w:sz w:val="22"/>
          <w:szCs w:val="22"/>
        </w:rPr>
        <w:lastRenderedPageBreak/>
        <w:t xml:space="preserve">Explore parallels between this framework and emerging discussions on meaningful work, career adaptability, and sustainable careers. </w:t>
      </w:r>
    </w:p>
    <w:p w14:paraId="4E346B38" w14:textId="77777777" w:rsidR="000D3262" w:rsidRPr="00CA4F5E" w:rsidRDefault="000D3262" w:rsidP="00CA4F5E">
      <w:pPr>
        <w:numPr>
          <w:ilvl w:val="0"/>
          <w:numId w:val="3"/>
        </w:numPr>
        <w:spacing w:after="0" w:line="360" w:lineRule="auto"/>
        <w:jc w:val="both"/>
        <w:rPr>
          <w:sz w:val="22"/>
          <w:szCs w:val="22"/>
        </w:rPr>
      </w:pPr>
      <w:r w:rsidRPr="00CA4F5E">
        <w:rPr>
          <w:sz w:val="22"/>
          <w:szCs w:val="22"/>
        </w:rPr>
        <w:t xml:space="preserve">Consider implications for reflective career guidance practice. </w:t>
      </w:r>
    </w:p>
    <w:p w14:paraId="08460454" w14:textId="77777777" w:rsidR="000D3262" w:rsidRPr="00CA4F5E" w:rsidRDefault="000D3262" w:rsidP="00CA4F5E">
      <w:pPr>
        <w:spacing w:after="0" w:line="360" w:lineRule="auto"/>
        <w:jc w:val="both"/>
        <w:rPr>
          <w:b/>
          <w:bCs/>
          <w:sz w:val="22"/>
          <w:szCs w:val="22"/>
        </w:rPr>
      </w:pPr>
      <w:r w:rsidRPr="00CA4F5E">
        <w:rPr>
          <w:b/>
          <w:bCs/>
          <w:sz w:val="22"/>
          <w:szCs w:val="22"/>
        </w:rPr>
        <w:t>Theoretical Basis</w:t>
      </w:r>
    </w:p>
    <w:p w14:paraId="0120B694" w14:textId="77777777" w:rsidR="000D3262" w:rsidRPr="00CA4F5E" w:rsidRDefault="000D3262" w:rsidP="00CA4F5E">
      <w:pPr>
        <w:spacing w:after="0" w:line="360" w:lineRule="auto"/>
        <w:jc w:val="both"/>
        <w:rPr>
          <w:sz w:val="22"/>
          <w:szCs w:val="22"/>
        </w:rPr>
      </w:pPr>
      <w:r w:rsidRPr="00CA4F5E">
        <w:rPr>
          <w:sz w:val="22"/>
          <w:szCs w:val="22"/>
        </w:rPr>
        <w:t xml:space="preserve">The framework draws on interpretations of </w:t>
      </w:r>
      <w:r w:rsidRPr="00CA4F5E">
        <w:rPr>
          <w:i/>
          <w:iCs/>
          <w:sz w:val="22"/>
          <w:szCs w:val="22"/>
        </w:rPr>
        <w:t>Svabhava</w:t>
      </w:r>
      <w:r w:rsidRPr="00CA4F5E">
        <w:rPr>
          <w:sz w:val="22"/>
          <w:szCs w:val="22"/>
        </w:rPr>
        <w:t xml:space="preserve"> and </w:t>
      </w:r>
      <w:r w:rsidRPr="00CA4F5E">
        <w:rPr>
          <w:i/>
          <w:iCs/>
          <w:sz w:val="22"/>
          <w:szCs w:val="22"/>
        </w:rPr>
        <w:t>Svadharma</w:t>
      </w:r>
      <w:r w:rsidRPr="00CA4F5E">
        <w:rPr>
          <w:sz w:val="22"/>
          <w:szCs w:val="22"/>
        </w:rPr>
        <w:t xml:space="preserve"> found in classical Indian philosophical traditions, particularly the Bhagavad Gita. Within this tradition, actions and responsibilities are understood to arise from an individual’s intrinsic nature (</w:t>
      </w:r>
      <w:r w:rsidRPr="00CA4F5E">
        <w:rPr>
          <w:i/>
          <w:iCs/>
          <w:sz w:val="22"/>
          <w:szCs w:val="22"/>
        </w:rPr>
        <w:t>Svabhava</w:t>
      </w:r>
      <w:r w:rsidRPr="00CA4F5E">
        <w:rPr>
          <w:sz w:val="22"/>
          <w:szCs w:val="22"/>
        </w:rPr>
        <w:t xml:space="preserve">), and acting in accordance with this nature is described as following one’s </w:t>
      </w:r>
      <w:r w:rsidRPr="00CA4F5E">
        <w:rPr>
          <w:i/>
          <w:iCs/>
          <w:sz w:val="22"/>
          <w:szCs w:val="22"/>
        </w:rPr>
        <w:t>Svadharma</w:t>
      </w:r>
      <w:r w:rsidRPr="00CA4F5E">
        <w:rPr>
          <w:sz w:val="22"/>
          <w:szCs w:val="22"/>
        </w:rPr>
        <w:t xml:space="preserve"> (Radhakrishnan, 1996).</w:t>
      </w:r>
    </w:p>
    <w:p w14:paraId="5F08F7BF" w14:textId="77777777" w:rsidR="000D3262" w:rsidRPr="00CA4F5E" w:rsidRDefault="000D3262" w:rsidP="00CA4F5E">
      <w:pPr>
        <w:spacing w:after="0" w:line="360" w:lineRule="auto"/>
        <w:jc w:val="both"/>
        <w:rPr>
          <w:sz w:val="22"/>
          <w:szCs w:val="22"/>
        </w:rPr>
      </w:pPr>
      <w:r w:rsidRPr="00CA4F5E">
        <w:rPr>
          <w:sz w:val="22"/>
          <w:szCs w:val="22"/>
        </w:rPr>
        <w:t xml:space="preserve">Contemporary interpretation requires caution. Philosophical debates caution against treating </w:t>
      </w:r>
      <w:r w:rsidRPr="00CA4F5E">
        <w:rPr>
          <w:i/>
          <w:iCs/>
          <w:sz w:val="22"/>
          <w:szCs w:val="22"/>
        </w:rPr>
        <w:t>Svabhava</w:t>
      </w:r>
      <w:r w:rsidRPr="00CA4F5E">
        <w:rPr>
          <w:sz w:val="22"/>
          <w:szCs w:val="22"/>
        </w:rPr>
        <w:t xml:space="preserve"> as a fixed essence; instead it may be understood as a dynamic pattern of tendencies shaped by experience and context. In this sense, </w:t>
      </w:r>
      <w:r w:rsidRPr="00CA4F5E">
        <w:rPr>
          <w:i/>
          <w:iCs/>
          <w:sz w:val="22"/>
          <w:szCs w:val="22"/>
        </w:rPr>
        <w:t>Svabhava</w:t>
      </w:r>
      <w:r w:rsidRPr="00CA4F5E">
        <w:rPr>
          <w:sz w:val="22"/>
          <w:szCs w:val="22"/>
        </w:rPr>
        <w:t xml:space="preserve"> resembles modern constructs such as interests, strengths, and personality dispositions.</w:t>
      </w:r>
    </w:p>
    <w:p w14:paraId="76154C20" w14:textId="77777777" w:rsidR="000D3262" w:rsidRPr="00CA4F5E" w:rsidRDefault="000D3262" w:rsidP="00CA4F5E">
      <w:pPr>
        <w:spacing w:after="0" w:line="360" w:lineRule="auto"/>
        <w:jc w:val="both"/>
        <w:rPr>
          <w:sz w:val="22"/>
          <w:szCs w:val="22"/>
        </w:rPr>
      </w:pPr>
      <w:r w:rsidRPr="00CA4F5E">
        <w:rPr>
          <w:sz w:val="22"/>
          <w:szCs w:val="22"/>
        </w:rPr>
        <w:t xml:space="preserve">When translated into career development discourse, the movement from </w:t>
      </w:r>
      <w:r w:rsidRPr="00CA4F5E">
        <w:rPr>
          <w:i/>
          <w:iCs/>
          <w:sz w:val="22"/>
          <w:szCs w:val="22"/>
        </w:rPr>
        <w:t>Svabhava</w:t>
      </w:r>
      <w:r w:rsidRPr="00CA4F5E">
        <w:rPr>
          <w:sz w:val="22"/>
          <w:szCs w:val="22"/>
        </w:rPr>
        <w:t xml:space="preserve"> to </w:t>
      </w:r>
      <w:r w:rsidRPr="00CA4F5E">
        <w:rPr>
          <w:i/>
          <w:iCs/>
          <w:sz w:val="22"/>
          <w:szCs w:val="22"/>
        </w:rPr>
        <w:t>Svadharma</w:t>
      </w:r>
      <w:r w:rsidRPr="00CA4F5E">
        <w:rPr>
          <w:sz w:val="22"/>
          <w:szCs w:val="22"/>
        </w:rPr>
        <w:t xml:space="preserve"> can be interpreted as a process of aligning self-understanding with meaningful action. This interpretation resonates with person–environment fit approaches, career construction theory’s emphasis on identity and meaning in work (Savickas, 2013), and emerging literature on sustainable careers and well-being (De Vos et al., 2020).</w:t>
      </w:r>
    </w:p>
    <w:p w14:paraId="38C51FE6" w14:textId="77777777" w:rsidR="000D3262" w:rsidRPr="00CA4F5E" w:rsidRDefault="000D3262" w:rsidP="00CA4F5E">
      <w:pPr>
        <w:spacing w:after="0" w:line="360" w:lineRule="auto"/>
        <w:jc w:val="both"/>
        <w:rPr>
          <w:b/>
          <w:bCs/>
          <w:sz w:val="22"/>
          <w:szCs w:val="22"/>
        </w:rPr>
      </w:pPr>
      <w:r w:rsidRPr="00CA4F5E">
        <w:rPr>
          <w:b/>
          <w:bCs/>
          <w:sz w:val="22"/>
          <w:szCs w:val="22"/>
        </w:rPr>
        <w:t>Methodology</w:t>
      </w:r>
    </w:p>
    <w:p w14:paraId="7D658A6D" w14:textId="77777777" w:rsidR="000D3262" w:rsidRPr="00CA4F5E" w:rsidRDefault="000D3262" w:rsidP="00CA4F5E">
      <w:pPr>
        <w:spacing w:after="0" w:line="360" w:lineRule="auto"/>
        <w:jc w:val="both"/>
        <w:rPr>
          <w:sz w:val="22"/>
          <w:szCs w:val="22"/>
        </w:rPr>
      </w:pPr>
      <w:r w:rsidRPr="00CA4F5E">
        <w:rPr>
          <w:sz w:val="22"/>
          <w:szCs w:val="22"/>
        </w:rPr>
        <w:t>The study adopts a conceptual and interpretive research design based on textual and literature analysis. Classical philosophical texts are analysed alongside contemporary scholarship in vocational psychology and career development.</w:t>
      </w:r>
    </w:p>
    <w:p w14:paraId="3B7C6990" w14:textId="77777777" w:rsidR="000D3262" w:rsidRPr="00CA4F5E" w:rsidRDefault="000D3262" w:rsidP="00CA4F5E">
      <w:pPr>
        <w:spacing w:after="0" w:line="360" w:lineRule="auto"/>
        <w:jc w:val="both"/>
        <w:rPr>
          <w:sz w:val="22"/>
          <w:szCs w:val="22"/>
        </w:rPr>
      </w:pPr>
      <w:r w:rsidRPr="00CA4F5E">
        <w:rPr>
          <w:sz w:val="22"/>
          <w:szCs w:val="22"/>
        </w:rPr>
        <w:t xml:space="preserve">The analysis proceeds in three stages. First, the meanings and interpretations of </w:t>
      </w:r>
      <w:r w:rsidRPr="00CA4F5E">
        <w:rPr>
          <w:i/>
          <w:iCs/>
          <w:sz w:val="22"/>
          <w:szCs w:val="22"/>
        </w:rPr>
        <w:t>Svabhava</w:t>
      </w:r>
      <w:r w:rsidRPr="00CA4F5E">
        <w:rPr>
          <w:sz w:val="22"/>
          <w:szCs w:val="22"/>
        </w:rPr>
        <w:t xml:space="preserve"> and </w:t>
      </w:r>
      <w:r w:rsidRPr="00CA4F5E">
        <w:rPr>
          <w:i/>
          <w:iCs/>
          <w:sz w:val="22"/>
          <w:szCs w:val="22"/>
        </w:rPr>
        <w:t>Svadharma</w:t>
      </w:r>
      <w:r w:rsidRPr="00CA4F5E">
        <w:rPr>
          <w:sz w:val="22"/>
          <w:szCs w:val="22"/>
        </w:rPr>
        <w:t xml:space="preserve"> are examined through key philosophical sources. Second, these concepts are translated into constructs relevant to career development theory through comparative analysis. Third, the study explores how these constructs may inform career guidance practice by framing career development as a process of aligning personal dispositions with contextually appropriate and ethically grounded pathways of action.</w:t>
      </w:r>
    </w:p>
    <w:p w14:paraId="2EEA9DCB" w14:textId="642A4C10" w:rsidR="000D3262" w:rsidRPr="00CA4F5E" w:rsidRDefault="000D3262" w:rsidP="00CA4F5E">
      <w:pPr>
        <w:spacing w:after="0" w:line="360" w:lineRule="auto"/>
        <w:jc w:val="both"/>
        <w:rPr>
          <w:sz w:val="22"/>
          <w:szCs w:val="22"/>
        </w:rPr>
      </w:pPr>
    </w:p>
    <w:p w14:paraId="79B43E79" w14:textId="77777777" w:rsidR="000D3262" w:rsidRPr="00CA4F5E" w:rsidRDefault="000D3262" w:rsidP="00CA4F5E">
      <w:pPr>
        <w:spacing w:after="0" w:line="360" w:lineRule="auto"/>
        <w:jc w:val="both"/>
        <w:rPr>
          <w:b/>
          <w:bCs/>
          <w:sz w:val="22"/>
          <w:szCs w:val="22"/>
        </w:rPr>
      </w:pPr>
      <w:r w:rsidRPr="00CA4F5E">
        <w:rPr>
          <w:b/>
          <w:bCs/>
          <w:sz w:val="22"/>
          <w:szCs w:val="22"/>
        </w:rPr>
        <w:t>Results</w:t>
      </w:r>
    </w:p>
    <w:p w14:paraId="12CD9DF9" w14:textId="77777777" w:rsidR="000D3262" w:rsidRPr="00CA4F5E" w:rsidRDefault="000D3262" w:rsidP="00CA4F5E">
      <w:pPr>
        <w:spacing w:after="0" w:line="360" w:lineRule="auto"/>
        <w:jc w:val="both"/>
        <w:rPr>
          <w:sz w:val="22"/>
          <w:szCs w:val="22"/>
        </w:rPr>
      </w:pPr>
      <w:r w:rsidRPr="00CA4F5E">
        <w:rPr>
          <w:sz w:val="22"/>
          <w:szCs w:val="22"/>
        </w:rPr>
        <w:t xml:space="preserve">The analysis suggests that the relationship between </w:t>
      </w:r>
      <w:r w:rsidRPr="00CA4F5E">
        <w:rPr>
          <w:i/>
          <w:iCs/>
          <w:sz w:val="22"/>
          <w:szCs w:val="22"/>
        </w:rPr>
        <w:t>Svabhava</w:t>
      </w:r>
      <w:r w:rsidRPr="00CA4F5E">
        <w:rPr>
          <w:sz w:val="22"/>
          <w:szCs w:val="22"/>
        </w:rPr>
        <w:t xml:space="preserve"> and </w:t>
      </w:r>
      <w:r w:rsidRPr="00CA4F5E">
        <w:rPr>
          <w:i/>
          <w:iCs/>
          <w:sz w:val="22"/>
          <w:szCs w:val="22"/>
        </w:rPr>
        <w:t>Svadharma</w:t>
      </w:r>
      <w:r w:rsidRPr="00CA4F5E">
        <w:rPr>
          <w:sz w:val="22"/>
          <w:szCs w:val="22"/>
        </w:rPr>
        <w:t xml:space="preserve"> may be interpreted as a developmental alignment process in career development. The proposed model involves three stages: clarifying patterns of interests, strengths, and values (</w:t>
      </w:r>
      <w:r w:rsidRPr="00CA4F5E">
        <w:rPr>
          <w:i/>
          <w:iCs/>
          <w:sz w:val="22"/>
          <w:szCs w:val="22"/>
        </w:rPr>
        <w:t>Svabhava</w:t>
      </w:r>
      <w:r w:rsidRPr="00CA4F5E">
        <w:rPr>
          <w:sz w:val="22"/>
          <w:szCs w:val="22"/>
        </w:rPr>
        <w:t>); identifying contextually appropriate pathways of action (</w:t>
      </w:r>
      <w:r w:rsidRPr="00CA4F5E">
        <w:rPr>
          <w:i/>
          <w:iCs/>
          <w:sz w:val="22"/>
          <w:szCs w:val="22"/>
        </w:rPr>
        <w:t>Svadharma</w:t>
      </w:r>
      <w:r w:rsidRPr="00CA4F5E">
        <w:rPr>
          <w:sz w:val="22"/>
          <w:szCs w:val="22"/>
        </w:rPr>
        <w:t>); and enacting this alignment through experimentation and adaptation in real-world contexts.</w:t>
      </w:r>
    </w:p>
    <w:p w14:paraId="7532103A" w14:textId="77777777" w:rsidR="000D3262" w:rsidRPr="00CA4F5E" w:rsidRDefault="000D3262" w:rsidP="00CA4F5E">
      <w:pPr>
        <w:spacing w:after="0" w:line="360" w:lineRule="auto"/>
        <w:jc w:val="both"/>
        <w:rPr>
          <w:sz w:val="22"/>
          <w:szCs w:val="22"/>
        </w:rPr>
      </w:pPr>
      <w:r w:rsidRPr="00CA4F5E">
        <w:rPr>
          <w:sz w:val="22"/>
          <w:szCs w:val="22"/>
        </w:rPr>
        <w:lastRenderedPageBreak/>
        <w:t>This framework resonates with contemporary discussions on meaningful work, career adaptability, and sustainable careers (Savickas et al., 2009; De Vos et al., 2020). It also highlights the importance of recognising contextual constraints, access to decent work, and the role of family and community influences in shaping career pathways (Blustein, 2019).</w:t>
      </w:r>
    </w:p>
    <w:p w14:paraId="13185ADE" w14:textId="77777777" w:rsidR="000D3262" w:rsidRPr="00CA4F5E" w:rsidRDefault="000D3262" w:rsidP="00CA4F5E">
      <w:pPr>
        <w:spacing w:after="0" w:line="360" w:lineRule="auto"/>
        <w:jc w:val="both"/>
        <w:rPr>
          <w:b/>
          <w:bCs/>
          <w:sz w:val="22"/>
          <w:szCs w:val="22"/>
        </w:rPr>
      </w:pPr>
      <w:r w:rsidRPr="00CA4F5E">
        <w:rPr>
          <w:b/>
          <w:bCs/>
          <w:sz w:val="22"/>
          <w:szCs w:val="22"/>
        </w:rPr>
        <w:t>Conclusions</w:t>
      </w:r>
    </w:p>
    <w:p w14:paraId="2862BCEF" w14:textId="77777777" w:rsidR="000D3262" w:rsidRPr="00CA4F5E" w:rsidRDefault="000D3262" w:rsidP="00CA4F5E">
      <w:pPr>
        <w:spacing w:after="0" w:line="360" w:lineRule="auto"/>
        <w:jc w:val="both"/>
        <w:rPr>
          <w:sz w:val="22"/>
          <w:szCs w:val="22"/>
        </w:rPr>
      </w:pPr>
      <w:r w:rsidRPr="00CA4F5E">
        <w:rPr>
          <w:sz w:val="22"/>
          <w:szCs w:val="22"/>
        </w:rPr>
        <w:t xml:space="preserve">Engaging with indigenous philosophical traditions can enrich the theoretical and cultural foundations of career guidance. The </w:t>
      </w:r>
      <w:r w:rsidRPr="00CA4F5E">
        <w:rPr>
          <w:i/>
          <w:iCs/>
          <w:sz w:val="22"/>
          <w:szCs w:val="22"/>
        </w:rPr>
        <w:t>Svabhava–Svadharma</w:t>
      </w:r>
      <w:r w:rsidRPr="00CA4F5E">
        <w:rPr>
          <w:sz w:val="22"/>
          <w:szCs w:val="22"/>
        </w:rPr>
        <w:t xml:space="preserve"> framework offers a culturally grounded model for understanding career development as the alignment between intrinsic dispositions and purposeful action. By bringing Indian philosophical insights into dialogue with contemporary career development theory, the study contributes to efforts to diversify the epistemological foundations of career guidance and to develop more holistic and culturally responsive approaches to career development.</w:t>
      </w:r>
    </w:p>
    <w:p w14:paraId="6EDCB929" w14:textId="16771610" w:rsidR="00853DF5" w:rsidRPr="00CA4F5E" w:rsidRDefault="00853DF5" w:rsidP="00CA4F5E">
      <w:pPr>
        <w:spacing w:after="0" w:line="360" w:lineRule="auto"/>
        <w:jc w:val="both"/>
        <w:rPr>
          <w:b/>
          <w:bCs/>
          <w:sz w:val="22"/>
          <w:szCs w:val="22"/>
        </w:rPr>
      </w:pPr>
      <w:r w:rsidRPr="00CA4F5E">
        <w:rPr>
          <w:b/>
          <w:bCs/>
          <w:sz w:val="22"/>
          <w:szCs w:val="22"/>
        </w:rPr>
        <w:t xml:space="preserve"> References</w:t>
      </w:r>
    </w:p>
    <w:p w14:paraId="24B850BC" w14:textId="77777777" w:rsidR="00853DF5" w:rsidRPr="00CA4F5E" w:rsidRDefault="00853DF5" w:rsidP="00CA4F5E">
      <w:pPr>
        <w:spacing w:after="0" w:line="360" w:lineRule="auto"/>
        <w:jc w:val="both"/>
        <w:rPr>
          <w:sz w:val="22"/>
          <w:szCs w:val="22"/>
        </w:rPr>
      </w:pPr>
      <w:r w:rsidRPr="00CA4F5E">
        <w:rPr>
          <w:sz w:val="22"/>
          <w:szCs w:val="22"/>
        </w:rPr>
        <w:t xml:space="preserve">Blustein, D. L. (2019). </w:t>
      </w:r>
      <w:r w:rsidRPr="00CA4F5E">
        <w:rPr>
          <w:i/>
          <w:iCs/>
          <w:sz w:val="22"/>
          <w:szCs w:val="22"/>
        </w:rPr>
        <w:t>The Importance of Work in an Age of Uncertainty</w:t>
      </w:r>
      <w:r w:rsidRPr="00CA4F5E">
        <w:rPr>
          <w:sz w:val="22"/>
          <w:szCs w:val="22"/>
        </w:rPr>
        <w:t>. Oxford University Press.</w:t>
      </w:r>
    </w:p>
    <w:p w14:paraId="4DFDF312" w14:textId="77777777" w:rsidR="00853DF5" w:rsidRPr="00CA4F5E" w:rsidRDefault="00853DF5" w:rsidP="00CA4F5E">
      <w:pPr>
        <w:spacing w:after="0" w:line="360" w:lineRule="auto"/>
        <w:jc w:val="both"/>
        <w:rPr>
          <w:sz w:val="22"/>
          <w:szCs w:val="22"/>
        </w:rPr>
      </w:pPr>
      <w:r w:rsidRPr="00CA4F5E">
        <w:rPr>
          <w:sz w:val="22"/>
          <w:szCs w:val="22"/>
        </w:rPr>
        <w:t xml:space="preserve">Brown, S. D., &amp; Lent, R. W. (2013). </w:t>
      </w:r>
      <w:r w:rsidRPr="00CA4F5E">
        <w:rPr>
          <w:i/>
          <w:iCs/>
          <w:sz w:val="22"/>
          <w:szCs w:val="22"/>
        </w:rPr>
        <w:t>Career Development and Counseling: Putting Theory and Research to Work</w:t>
      </w:r>
      <w:r w:rsidRPr="00CA4F5E">
        <w:rPr>
          <w:sz w:val="22"/>
          <w:szCs w:val="22"/>
        </w:rPr>
        <w:t xml:space="preserve"> (2nd ed.). Wiley.</w:t>
      </w:r>
    </w:p>
    <w:p w14:paraId="2262CAEA" w14:textId="77777777" w:rsidR="00853DF5" w:rsidRPr="00CA4F5E" w:rsidRDefault="00853DF5" w:rsidP="00CA4F5E">
      <w:pPr>
        <w:spacing w:after="0" w:line="360" w:lineRule="auto"/>
        <w:jc w:val="both"/>
        <w:rPr>
          <w:sz w:val="22"/>
          <w:szCs w:val="22"/>
        </w:rPr>
      </w:pPr>
      <w:r w:rsidRPr="00CA4F5E">
        <w:rPr>
          <w:sz w:val="22"/>
          <w:szCs w:val="22"/>
        </w:rPr>
        <w:t xml:space="preserve">De Vos, A., Van der Heijden, B., &amp; Akkermans, J. (2020). Sustainable careers: Towards a conceptual model. </w:t>
      </w:r>
      <w:r w:rsidRPr="00CA4F5E">
        <w:rPr>
          <w:i/>
          <w:iCs/>
          <w:sz w:val="22"/>
          <w:szCs w:val="22"/>
        </w:rPr>
        <w:t>Journal of Vocational Behavior</w:t>
      </w:r>
      <w:r w:rsidRPr="00CA4F5E">
        <w:rPr>
          <w:sz w:val="22"/>
          <w:szCs w:val="22"/>
        </w:rPr>
        <w:t>, 117.</w:t>
      </w:r>
    </w:p>
    <w:p w14:paraId="430F3086" w14:textId="77777777" w:rsidR="00853DF5" w:rsidRPr="00CA4F5E" w:rsidRDefault="00853DF5" w:rsidP="00CA4F5E">
      <w:pPr>
        <w:spacing w:after="0" w:line="360" w:lineRule="auto"/>
        <w:jc w:val="both"/>
        <w:rPr>
          <w:sz w:val="22"/>
          <w:szCs w:val="22"/>
        </w:rPr>
      </w:pPr>
      <w:r w:rsidRPr="00CA4F5E">
        <w:rPr>
          <w:sz w:val="22"/>
          <w:szCs w:val="22"/>
        </w:rPr>
        <w:t xml:space="preserve">Guichard, J. (2013). Career guidance, education, and dialogues for a fair and sustainable human development. </w:t>
      </w:r>
      <w:r w:rsidRPr="00CA4F5E">
        <w:rPr>
          <w:i/>
          <w:iCs/>
          <w:sz w:val="22"/>
          <w:szCs w:val="22"/>
        </w:rPr>
        <w:t>International Journal for Educational and Vocational Guidance</w:t>
      </w:r>
      <w:r w:rsidRPr="00CA4F5E">
        <w:rPr>
          <w:sz w:val="22"/>
          <w:szCs w:val="22"/>
        </w:rPr>
        <w:t>, 13(1).</w:t>
      </w:r>
    </w:p>
    <w:p w14:paraId="38C56364" w14:textId="77777777" w:rsidR="00853DF5" w:rsidRPr="00CA4F5E" w:rsidRDefault="00853DF5" w:rsidP="00CA4F5E">
      <w:pPr>
        <w:spacing w:after="0" w:line="360" w:lineRule="auto"/>
        <w:jc w:val="both"/>
        <w:rPr>
          <w:sz w:val="22"/>
          <w:szCs w:val="22"/>
        </w:rPr>
      </w:pPr>
      <w:r w:rsidRPr="00CA4F5E">
        <w:rPr>
          <w:sz w:val="22"/>
          <w:szCs w:val="22"/>
        </w:rPr>
        <w:t xml:space="preserve">Radhakrishnan, S. (1996). </w:t>
      </w:r>
      <w:r w:rsidRPr="00CA4F5E">
        <w:rPr>
          <w:i/>
          <w:iCs/>
          <w:sz w:val="22"/>
          <w:szCs w:val="22"/>
        </w:rPr>
        <w:t>The Bhagavadgita</w:t>
      </w:r>
      <w:r w:rsidRPr="00CA4F5E">
        <w:rPr>
          <w:sz w:val="22"/>
          <w:szCs w:val="22"/>
        </w:rPr>
        <w:t>. HarperCollins.</w:t>
      </w:r>
    </w:p>
    <w:p w14:paraId="0782BD96" w14:textId="77777777" w:rsidR="00853DF5" w:rsidRPr="00CA4F5E" w:rsidRDefault="00853DF5" w:rsidP="00CA4F5E">
      <w:pPr>
        <w:spacing w:after="0" w:line="360" w:lineRule="auto"/>
        <w:jc w:val="both"/>
        <w:rPr>
          <w:sz w:val="22"/>
          <w:szCs w:val="22"/>
        </w:rPr>
      </w:pPr>
      <w:r w:rsidRPr="00CA4F5E">
        <w:rPr>
          <w:sz w:val="22"/>
          <w:szCs w:val="22"/>
        </w:rPr>
        <w:t xml:space="preserve">Savickas, M. L. (2013). Career construction theory and practice. In Brown &amp; Lent (Eds.), </w:t>
      </w:r>
      <w:r w:rsidRPr="00CA4F5E">
        <w:rPr>
          <w:i/>
          <w:iCs/>
          <w:sz w:val="22"/>
          <w:szCs w:val="22"/>
        </w:rPr>
        <w:t>Career Development and Counseling</w:t>
      </w:r>
      <w:r w:rsidRPr="00CA4F5E">
        <w:rPr>
          <w:sz w:val="22"/>
          <w:szCs w:val="22"/>
        </w:rPr>
        <w:t>.</w:t>
      </w:r>
    </w:p>
    <w:p w14:paraId="3DAFD731" w14:textId="77777777" w:rsidR="00853DF5" w:rsidRPr="00CA4F5E" w:rsidRDefault="00853DF5" w:rsidP="00CA4F5E">
      <w:pPr>
        <w:spacing w:after="0" w:line="360" w:lineRule="auto"/>
        <w:jc w:val="both"/>
        <w:rPr>
          <w:sz w:val="22"/>
          <w:szCs w:val="22"/>
        </w:rPr>
      </w:pPr>
      <w:r w:rsidRPr="00CA4F5E">
        <w:rPr>
          <w:sz w:val="22"/>
          <w:szCs w:val="22"/>
        </w:rPr>
        <w:t xml:space="preserve">Savickas, M. L., Nota, L., Rossier, J., et al. (2009). Life designing: A paradigm for career construction in the 21st century. </w:t>
      </w:r>
      <w:r w:rsidRPr="00CA4F5E">
        <w:rPr>
          <w:i/>
          <w:iCs/>
          <w:sz w:val="22"/>
          <w:szCs w:val="22"/>
        </w:rPr>
        <w:t>Journal of Vocational Behavior</w:t>
      </w:r>
      <w:r w:rsidRPr="00CA4F5E">
        <w:rPr>
          <w:sz w:val="22"/>
          <w:szCs w:val="22"/>
        </w:rPr>
        <w:t>, 75(3).</w:t>
      </w:r>
    </w:p>
    <w:p w14:paraId="6A3165BD" w14:textId="77777777" w:rsidR="000D3262" w:rsidRPr="00CA4F5E" w:rsidRDefault="000D3262" w:rsidP="00CA4F5E">
      <w:pPr>
        <w:spacing w:after="0" w:line="360" w:lineRule="auto"/>
        <w:ind w:left="720"/>
        <w:jc w:val="both"/>
        <w:rPr>
          <w:sz w:val="22"/>
          <w:szCs w:val="22"/>
        </w:rPr>
      </w:pPr>
    </w:p>
    <w:p w14:paraId="113CA419" w14:textId="60E4B1D7" w:rsidR="000D3262" w:rsidRPr="00606218" w:rsidRDefault="000D3262" w:rsidP="00606218">
      <w:pPr>
        <w:numPr>
          <w:ilvl w:val="0"/>
          <w:numId w:val="2"/>
        </w:numPr>
        <w:spacing w:after="0" w:line="360" w:lineRule="auto"/>
        <w:jc w:val="both"/>
        <w:rPr>
          <w:sz w:val="22"/>
          <w:szCs w:val="22"/>
        </w:rPr>
      </w:pPr>
      <w:r w:rsidRPr="00606218">
        <w:rPr>
          <w:sz w:val="22"/>
          <w:szCs w:val="22"/>
        </w:rPr>
        <w:t xml:space="preserve">Keywords: </w:t>
      </w:r>
      <w:r w:rsidR="00606218" w:rsidRPr="00606218">
        <w:rPr>
          <w:sz w:val="22"/>
          <w:szCs w:val="22"/>
        </w:rPr>
        <w:t>Career Guidance</w:t>
      </w:r>
      <w:r w:rsidR="00606218" w:rsidRPr="00606218">
        <w:rPr>
          <w:sz w:val="22"/>
          <w:szCs w:val="22"/>
        </w:rPr>
        <w:t xml:space="preserve">; </w:t>
      </w:r>
      <w:r w:rsidR="00606218" w:rsidRPr="00606218">
        <w:rPr>
          <w:sz w:val="22"/>
          <w:szCs w:val="22"/>
        </w:rPr>
        <w:t>Svabhava–Svadharma Framework</w:t>
      </w:r>
      <w:r w:rsidR="00606218" w:rsidRPr="00606218">
        <w:rPr>
          <w:sz w:val="22"/>
          <w:szCs w:val="22"/>
        </w:rPr>
        <w:t xml:space="preserve">; </w:t>
      </w:r>
      <w:r w:rsidR="00606218" w:rsidRPr="00606218">
        <w:rPr>
          <w:sz w:val="22"/>
          <w:szCs w:val="22"/>
        </w:rPr>
        <w:t>Indigenous Knowledge Systems</w:t>
      </w:r>
      <w:r w:rsidR="00606218" w:rsidRPr="00606218">
        <w:rPr>
          <w:sz w:val="22"/>
          <w:szCs w:val="22"/>
        </w:rPr>
        <w:t xml:space="preserve">; </w:t>
      </w:r>
      <w:r w:rsidR="00606218" w:rsidRPr="00606218">
        <w:rPr>
          <w:sz w:val="22"/>
          <w:szCs w:val="22"/>
        </w:rPr>
        <w:t>Meaningful Work</w:t>
      </w:r>
      <w:r w:rsidR="00606218" w:rsidRPr="00606218">
        <w:rPr>
          <w:sz w:val="22"/>
          <w:szCs w:val="22"/>
        </w:rPr>
        <w:t xml:space="preserve">; </w:t>
      </w:r>
      <w:r w:rsidR="00606218" w:rsidRPr="00606218">
        <w:rPr>
          <w:sz w:val="22"/>
          <w:szCs w:val="22"/>
        </w:rPr>
        <w:t>Culturally Responsive Career Counselling</w:t>
      </w:r>
    </w:p>
    <w:sectPr w:rsidR="000D3262" w:rsidRPr="0060621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690EE5"/>
    <w:multiLevelType w:val="multilevel"/>
    <w:tmpl w:val="42646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AD76366"/>
    <w:multiLevelType w:val="multilevel"/>
    <w:tmpl w:val="06F43E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4D2458C"/>
    <w:multiLevelType w:val="multilevel"/>
    <w:tmpl w:val="9676D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56118D9"/>
    <w:multiLevelType w:val="multilevel"/>
    <w:tmpl w:val="9676D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949005527">
    <w:abstractNumId w:val="0"/>
  </w:num>
  <w:num w:numId="2" w16cid:durableId="135875277">
    <w:abstractNumId w:val="2"/>
  </w:num>
  <w:num w:numId="3" w16cid:durableId="822622058">
    <w:abstractNumId w:val="1"/>
  </w:num>
  <w:num w:numId="4" w16cid:durableId="207141834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3262"/>
    <w:rsid w:val="000D3262"/>
    <w:rsid w:val="001C50E0"/>
    <w:rsid w:val="00606218"/>
    <w:rsid w:val="0076429F"/>
    <w:rsid w:val="00853DF5"/>
    <w:rsid w:val="00CA4F5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DBA6D9"/>
  <w15:chartTrackingRefBased/>
  <w15:docId w15:val="{4948596B-ACF9-4E2A-844F-AD2B8720E3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3262"/>
  </w:style>
  <w:style w:type="paragraph" w:styleId="Heading1">
    <w:name w:val="heading 1"/>
    <w:basedOn w:val="Normal"/>
    <w:next w:val="Normal"/>
    <w:link w:val="Heading1Char"/>
    <w:uiPriority w:val="9"/>
    <w:qFormat/>
    <w:rsid w:val="000D326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0D326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D326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D326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D326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D326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D326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D326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D326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326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0D326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D326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D326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D326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D326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D326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D326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D3262"/>
    <w:rPr>
      <w:rFonts w:eastAsiaTheme="majorEastAsia" w:cstheme="majorBidi"/>
      <w:color w:val="272727" w:themeColor="text1" w:themeTint="D8"/>
    </w:rPr>
  </w:style>
  <w:style w:type="paragraph" w:styleId="Title">
    <w:name w:val="Title"/>
    <w:basedOn w:val="Normal"/>
    <w:next w:val="Normal"/>
    <w:link w:val="TitleChar"/>
    <w:uiPriority w:val="10"/>
    <w:qFormat/>
    <w:rsid w:val="000D326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D326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D326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D326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D3262"/>
    <w:pPr>
      <w:spacing w:before="160"/>
      <w:jc w:val="center"/>
    </w:pPr>
    <w:rPr>
      <w:i/>
      <w:iCs/>
      <w:color w:val="404040" w:themeColor="text1" w:themeTint="BF"/>
    </w:rPr>
  </w:style>
  <w:style w:type="character" w:customStyle="1" w:styleId="QuoteChar">
    <w:name w:val="Quote Char"/>
    <w:basedOn w:val="DefaultParagraphFont"/>
    <w:link w:val="Quote"/>
    <w:uiPriority w:val="29"/>
    <w:rsid w:val="000D3262"/>
    <w:rPr>
      <w:i/>
      <w:iCs/>
      <w:color w:val="404040" w:themeColor="text1" w:themeTint="BF"/>
    </w:rPr>
  </w:style>
  <w:style w:type="paragraph" w:styleId="ListParagraph">
    <w:name w:val="List Paragraph"/>
    <w:basedOn w:val="Normal"/>
    <w:uiPriority w:val="34"/>
    <w:qFormat/>
    <w:rsid w:val="000D3262"/>
    <w:pPr>
      <w:ind w:left="720"/>
      <w:contextualSpacing/>
    </w:pPr>
  </w:style>
  <w:style w:type="character" w:styleId="IntenseEmphasis">
    <w:name w:val="Intense Emphasis"/>
    <w:basedOn w:val="DefaultParagraphFont"/>
    <w:uiPriority w:val="21"/>
    <w:qFormat/>
    <w:rsid w:val="000D3262"/>
    <w:rPr>
      <w:i/>
      <w:iCs/>
      <w:color w:val="2F5496" w:themeColor="accent1" w:themeShade="BF"/>
    </w:rPr>
  </w:style>
  <w:style w:type="paragraph" w:styleId="IntenseQuote">
    <w:name w:val="Intense Quote"/>
    <w:basedOn w:val="Normal"/>
    <w:next w:val="Normal"/>
    <w:link w:val="IntenseQuoteChar"/>
    <w:uiPriority w:val="30"/>
    <w:qFormat/>
    <w:rsid w:val="000D326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D3262"/>
    <w:rPr>
      <w:i/>
      <w:iCs/>
      <w:color w:val="2F5496" w:themeColor="accent1" w:themeShade="BF"/>
    </w:rPr>
  </w:style>
  <w:style w:type="character" w:styleId="IntenseReference">
    <w:name w:val="Intense Reference"/>
    <w:basedOn w:val="DefaultParagraphFont"/>
    <w:uiPriority w:val="32"/>
    <w:qFormat/>
    <w:rsid w:val="000D3262"/>
    <w:rPr>
      <w:b/>
      <w:bCs/>
      <w:smallCaps/>
      <w:color w:val="2F5496" w:themeColor="accent1" w:themeShade="BF"/>
      <w:spacing w:val="5"/>
    </w:rPr>
  </w:style>
  <w:style w:type="character" w:styleId="Hyperlink">
    <w:name w:val="Hyperlink"/>
    <w:basedOn w:val="DefaultParagraphFont"/>
    <w:uiPriority w:val="99"/>
    <w:unhideWhenUsed/>
    <w:rsid w:val="000D3262"/>
    <w:rPr>
      <w:color w:val="0563C1" w:themeColor="hyperlink"/>
      <w:u w:val="single"/>
    </w:rPr>
  </w:style>
  <w:style w:type="character" w:styleId="UnresolvedMention">
    <w:name w:val="Unresolved Mention"/>
    <w:basedOn w:val="DefaultParagraphFont"/>
    <w:uiPriority w:val="99"/>
    <w:semiHidden/>
    <w:unhideWhenUsed/>
    <w:rsid w:val="000D32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samparksachin@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3</Pages>
  <Words>1014</Words>
  <Characters>5786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Sachin Kumar</dc:creator>
  <cp:keywords/>
  <dc:description/>
  <cp:lastModifiedBy>Sachin Kumar</cp:lastModifiedBy>
  <cp:revision>3</cp:revision>
  <dcterms:created xsi:type="dcterms:W3CDTF">2026-04-05T05:32:00Z</dcterms:created>
  <dcterms:modified xsi:type="dcterms:W3CDTF">2026-04-05T05:38:00Z</dcterms:modified>
</cp:coreProperties>
</file>