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F257" w14:textId="55D37CFC" w:rsidR="00393F40" w:rsidRPr="00393F40" w:rsidRDefault="00393F40" w:rsidP="00393F40">
      <w:pPr>
        <w:rPr>
          <w:rFonts w:ascii="Arial" w:hAnsi="Arial" w:cs="Arial"/>
          <w:b/>
          <w:bCs/>
        </w:rPr>
      </w:pPr>
      <w:r w:rsidRPr="00393F40">
        <w:rPr>
          <w:rFonts w:ascii="Arial" w:hAnsi="Arial" w:cs="Arial"/>
          <w:b/>
          <w:bCs/>
        </w:rPr>
        <w:br/>
        <w:t>Strengthening Community-Led Monitoring and Real-Time Client Feedback in Papua New Guinea: Lessons from the KPAC Health Hub Response Centre</w:t>
      </w:r>
    </w:p>
    <w:p w14:paraId="3E48E44C" w14:textId="6C1AA908" w:rsidR="00393F40" w:rsidRPr="00393F40" w:rsidRDefault="00393F40" w:rsidP="00393F40">
      <w:pPr>
        <w:rPr>
          <w:rFonts w:ascii="Arial" w:hAnsi="Arial" w:cs="Arial"/>
        </w:rPr>
      </w:pPr>
      <w:r w:rsidRPr="00393F40">
        <w:rPr>
          <w:rFonts w:ascii="Arial" w:hAnsi="Arial" w:cs="Arial"/>
          <w:b/>
          <w:bCs/>
        </w:rPr>
        <w:t>Author</w:t>
      </w:r>
      <w:r w:rsidRPr="00393F40">
        <w:rPr>
          <w:rFonts w:ascii="Arial" w:hAnsi="Arial" w:cs="Arial"/>
        </w:rPr>
        <w:br/>
        <w:t>Yamo K¹</w:t>
      </w:r>
      <w:r w:rsidRPr="00393F40">
        <w:rPr>
          <w:rFonts w:ascii="Arial" w:hAnsi="Arial" w:cs="Arial"/>
        </w:rPr>
        <w:br/>
        <w:t>¹Key Populations Advocacy Consortium PNG Inc, Papua New Guinea</w:t>
      </w:r>
    </w:p>
    <w:p w14:paraId="0D6B18A5" w14:textId="2D6EAABC" w:rsidR="00393F40" w:rsidRPr="00393F40" w:rsidRDefault="00393F40" w:rsidP="00393F40">
      <w:pPr>
        <w:rPr>
          <w:rFonts w:ascii="Arial" w:hAnsi="Arial" w:cs="Arial"/>
        </w:rPr>
      </w:pPr>
    </w:p>
    <w:p w14:paraId="609D2E08" w14:textId="77777777" w:rsidR="00393F40" w:rsidRPr="00393F40" w:rsidRDefault="00393F40" w:rsidP="00393F40">
      <w:pPr>
        <w:rPr>
          <w:rFonts w:ascii="Arial" w:hAnsi="Arial" w:cs="Arial"/>
        </w:rPr>
      </w:pPr>
      <w:r w:rsidRPr="00393F40">
        <w:rPr>
          <w:rFonts w:ascii="Arial" w:hAnsi="Arial" w:cs="Arial"/>
          <w:b/>
          <w:bCs/>
        </w:rPr>
        <w:t>Background/Purpose</w:t>
      </w:r>
      <w:r w:rsidRPr="00393F40">
        <w:rPr>
          <w:rFonts w:ascii="Arial" w:hAnsi="Arial" w:cs="Arial"/>
        </w:rPr>
        <w:br/>
        <w:t>In Papua New Guinea, key populations often face barriers to accessing HIV services, including stigma, discrimination, misinformation, and limited responsiveness within health systems. Community Led Monitoring (CLM), implemented through the KPAC Health Hub Response Centre, provides a community-based mechanism to capture real-time feedback on service access and quality, while supporting individuals to navigate care and services.</w:t>
      </w:r>
    </w:p>
    <w:p w14:paraId="08FBDCAD" w14:textId="77777777" w:rsidR="00393F40" w:rsidRPr="00393F40" w:rsidRDefault="00393F40" w:rsidP="00393F40">
      <w:pPr>
        <w:rPr>
          <w:rFonts w:ascii="Arial" w:hAnsi="Arial" w:cs="Arial"/>
        </w:rPr>
      </w:pPr>
      <w:r w:rsidRPr="00393F40">
        <w:rPr>
          <w:rFonts w:ascii="Arial" w:hAnsi="Arial" w:cs="Arial"/>
          <w:b/>
          <w:bCs/>
        </w:rPr>
        <w:t>Approach</w:t>
      </w:r>
      <w:r w:rsidRPr="00393F40">
        <w:rPr>
          <w:rFonts w:ascii="Arial" w:hAnsi="Arial" w:cs="Arial"/>
        </w:rPr>
        <w:br/>
        <w:t>The Response Centre delivers information, counselling, and referrals through phone calls, messaging platforms, and social media. Linked to the KPAC Health Hub, clients can access HIV testing, pre-exposure prophylaxis (PrEP), and condoms, and are supported to connect with government health facilities for further care. Support includes assisting clients who experience stigma, discrimination, or service refusal to identify appropriate and safe pathways to care. Client experiences, including barriers to access and service quality issues, are systematically recorded and used to inform ongoing engagement. Social media platforms are also used to address misinformation and extend outreach to wider communities.</w:t>
      </w:r>
    </w:p>
    <w:p w14:paraId="414D7E50" w14:textId="75C9F194" w:rsidR="00393F40" w:rsidRPr="00393F40" w:rsidRDefault="00393F40" w:rsidP="00393F40">
      <w:pPr>
        <w:rPr>
          <w:rFonts w:ascii="Arial" w:hAnsi="Arial" w:cs="Arial"/>
        </w:rPr>
      </w:pPr>
      <w:r w:rsidRPr="00393F40">
        <w:rPr>
          <w:rFonts w:ascii="Arial" w:hAnsi="Arial" w:cs="Arial"/>
          <w:b/>
          <w:bCs/>
        </w:rPr>
        <w:t>Outcomes/Impact</w:t>
      </w:r>
      <w:r w:rsidRPr="00393F40">
        <w:rPr>
          <w:rFonts w:ascii="Arial" w:hAnsi="Arial" w:cs="Arial"/>
        </w:rPr>
        <w:br/>
        <w:t xml:space="preserve">Over a six-month period, the Response Centre received </w:t>
      </w:r>
      <w:r w:rsidR="00642D28">
        <w:rPr>
          <w:rFonts w:ascii="Arial" w:hAnsi="Arial" w:cs="Arial"/>
        </w:rPr>
        <w:t>80-90</w:t>
      </w:r>
      <w:r w:rsidRPr="00393F40">
        <w:rPr>
          <w:rFonts w:ascii="Arial" w:hAnsi="Arial" w:cs="Arial"/>
        </w:rPr>
        <w:t xml:space="preserve"> client interactions per </w:t>
      </w:r>
      <w:r w:rsidR="00642D28">
        <w:rPr>
          <w:rFonts w:ascii="Arial" w:hAnsi="Arial" w:cs="Arial"/>
        </w:rPr>
        <w:t>week</w:t>
      </w:r>
      <w:r w:rsidRPr="00393F40">
        <w:rPr>
          <w:rFonts w:ascii="Arial" w:hAnsi="Arial" w:cs="Arial"/>
        </w:rPr>
        <w:t>. Approximately half of clients accessed services at the Health Hub following referral. Clients represented diverse key population groups across ages, genders, and both national and international backgrounds. The Centre facilitated referrals to more than 1</w:t>
      </w:r>
      <w:r w:rsidR="00642D28">
        <w:rPr>
          <w:rFonts w:ascii="Arial" w:hAnsi="Arial" w:cs="Arial"/>
        </w:rPr>
        <w:t>6</w:t>
      </w:r>
      <w:r w:rsidRPr="00393F40">
        <w:rPr>
          <w:rFonts w:ascii="Arial" w:hAnsi="Arial" w:cs="Arial"/>
        </w:rPr>
        <w:t xml:space="preserve"> health facilities across the National Capital District. Increased client engagement and repeat interactions indicate growing trust in the service. The Response Centre has also been formally recognised by the National Department of Health as part of the broader HIV response.</w:t>
      </w:r>
    </w:p>
    <w:p w14:paraId="54F39602" w14:textId="77777777" w:rsidR="00393F40" w:rsidRPr="00393F40" w:rsidRDefault="00393F40" w:rsidP="00393F40">
      <w:pPr>
        <w:rPr>
          <w:rFonts w:ascii="Arial" w:hAnsi="Arial" w:cs="Arial"/>
        </w:rPr>
      </w:pPr>
      <w:r w:rsidRPr="00393F40">
        <w:rPr>
          <w:rFonts w:ascii="Arial" w:hAnsi="Arial" w:cs="Arial"/>
          <w:b/>
          <w:bCs/>
        </w:rPr>
        <w:t>Innovation and Significance</w:t>
      </w:r>
      <w:r w:rsidRPr="00393F40">
        <w:rPr>
          <w:rFonts w:ascii="Arial" w:hAnsi="Arial" w:cs="Arial"/>
        </w:rPr>
        <w:br/>
        <w:t>This model demonstrates how CLM can be integrated with real-time communication platforms to strengthen community engagement, improve access to services, and enhance accountability within health systems. While follow-up data from health facilities remains limited, addressing this gap presents an opportunity to further strengthen impact. The approach offers a practical, scalable model for community-led monitoring and service navigation in Papua New Guinea and similar settings.</w:t>
      </w:r>
    </w:p>
    <w:p w14:paraId="1FCEA77D" w14:textId="0998CA50" w:rsidR="00393F40" w:rsidRPr="00393F40" w:rsidRDefault="00393F40" w:rsidP="00393F40">
      <w:pPr>
        <w:rPr>
          <w:rFonts w:ascii="Arial" w:hAnsi="Arial" w:cs="Arial"/>
        </w:rPr>
      </w:pPr>
    </w:p>
    <w:p w14:paraId="55FC3B4E" w14:textId="31A6FED5" w:rsidR="00393F40" w:rsidRPr="00393F40" w:rsidRDefault="00393F40" w:rsidP="00393F40">
      <w:pPr>
        <w:rPr>
          <w:rFonts w:ascii="Arial" w:hAnsi="Arial" w:cs="Arial"/>
        </w:rPr>
      </w:pPr>
      <w:r w:rsidRPr="00393F40">
        <w:rPr>
          <w:rFonts w:ascii="Arial" w:hAnsi="Arial" w:cs="Arial"/>
          <w:b/>
          <w:bCs/>
        </w:rPr>
        <w:t>Disclosure of Interest Statement</w:t>
      </w:r>
      <w:r w:rsidRPr="00393F40">
        <w:rPr>
          <w:rFonts w:ascii="Arial" w:hAnsi="Arial" w:cs="Arial"/>
        </w:rPr>
        <w:br/>
        <w:t>Key Populations Advocacy Consortium PNG Inc receives funding and technical support from Health Equity Matters, the Global Fund, and UNAIDS, as well as funding from the Australian Government through the Department of Foreign Affairs and Trade (DFAT) via Catholic Church Health Services (CCHS).</w:t>
      </w:r>
      <w:r w:rsidR="00742A50" w:rsidRPr="00742A50">
        <w:rPr>
          <w:rFonts w:ascii="Arial" w:hAnsi="Arial" w:cs="Arial"/>
        </w:rPr>
        <w:t xml:space="preserve"> </w:t>
      </w:r>
      <w:r w:rsidR="00742A50">
        <w:rPr>
          <w:rFonts w:ascii="Arial" w:hAnsi="Arial" w:cs="Arial"/>
        </w:rPr>
        <w:t xml:space="preserve">Presenting author has received financial support via a scholarship from Health Equity Matters to participate in the symposium.   </w:t>
      </w:r>
    </w:p>
    <w:p w14:paraId="43028CD6" w14:textId="77777777" w:rsidR="0015495F" w:rsidRPr="0015495F" w:rsidRDefault="0015495F" w:rsidP="0015495F">
      <w:pPr>
        <w:rPr>
          <w:rFonts w:ascii="Arial" w:hAnsi="Arial" w:cs="Arial"/>
        </w:rPr>
      </w:pPr>
      <w:r w:rsidRPr="0015495F">
        <w:rPr>
          <w:rFonts w:ascii="Arial" w:hAnsi="Arial" w:cs="Arial"/>
          <w:b/>
          <w:bCs/>
          <w:lang w:val="en-US"/>
        </w:rPr>
        <w:t>AI Declaration:</w:t>
      </w:r>
      <w:r w:rsidRPr="0015495F">
        <w:rPr>
          <w:rFonts w:ascii="Arial" w:hAnsi="Arial" w:cs="Arial"/>
          <w:lang w:val="en-US"/>
        </w:rPr>
        <w:t> AI was used for language editing and refinement of abstracts written by the author. All content; data, findings, and intellectual framing are the original work of the authors.</w:t>
      </w:r>
      <w:r w:rsidRPr="0015495F">
        <w:rPr>
          <w:rFonts w:ascii="Arial" w:hAnsi="Arial" w:cs="Arial"/>
        </w:rPr>
        <w:t> </w:t>
      </w:r>
    </w:p>
    <w:p w14:paraId="55F26602" w14:textId="77777777" w:rsidR="00296BD3" w:rsidRPr="00393F40" w:rsidRDefault="00296BD3" w:rsidP="00393F40">
      <w:pPr>
        <w:rPr>
          <w:rFonts w:ascii="Arial" w:hAnsi="Arial" w:cs="Arial"/>
        </w:rPr>
      </w:pPr>
    </w:p>
    <w:sectPr w:rsidR="00296BD3" w:rsidRPr="00393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D3"/>
    <w:rsid w:val="0015495F"/>
    <w:rsid w:val="00296BD3"/>
    <w:rsid w:val="002B5A21"/>
    <w:rsid w:val="00393F40"/>
    <w:rsid w:val="00642D28"/>
    <w:rsid w:val="00742A50"/>
    <w:rsid w:val="00803539"/>
    <w:rsid w:val="008173AE"/>
    <w:rsid w:val="00D845D9"/>
    <w:rsid w:val="00DA47FC"/>
    <w:rsid w:val="00FD0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A476"/>
  <w15:chartTrackingRefBased/>
  <w15:docId w15:val="{D4E96269-5733-4E7B-B4A1-97D12C75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6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6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6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BD3"/>
    <w:rPr>
      <w:rFonts w:eastAsiaTheme="majorEastAsia" w:cstheme="majorBidi"/>
      <w:color w:val="272727" w:themeColor="text1" w:themeTint="D8"/>
    </w:rPr>
  </w:style>
  <w:style w:type="paragraph" w:styleId="Title">
    <w:name w:val="Title"/>
    <w:basedOn w:val="Normal"/>
    <w:next w:val="Normal"/>
    <w:link w:val="TitleChar"/>
    <w:uiPriority w:val="10"/>
    <w:qFormat/>
    <w:rsid w:val="00296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BD3"/>
    <w:pPr>
      <w:spacing w:before="160"/>
      <w:jc w:val="center"/>
    </w:pPr>
    <w:rPr>
      <w:i/>
      <w:iCs/>
      <w:color w:val="404040" w:themeColor="text1" w:themeTint="BF"/>
    </w:rPr>
  </w:style>
  <w:style w:type="character" w:customStyle="1" w:styleId="QuoteChar">
    <w:name w:val="Quote Char"/>
    <w:basedOn w:val="DefaultParagraphFont"/>
    <w:link w:val="Quote"/>
    <w:uiPriority w:val="29"/>
    <w:rsid w:val="00296BD3"/>
    <w:rPr>
      <w:i/>
      <w:iCs/>
      <w:color w:val="404040" w:themeColor="text1" w:themeTint="BF"/>
    </w:rPr>
  </w:style>
  <w:style w:type="paragraph" w:styleId="ListParagraph">
    <w:name w:val="List Paragraph"/>
    <w:basedOn w:val="Normal"/>
    <w:uiPriority w:val="34"/>
    <w:qFormat/>
    <w:rsid w:val="00296BD3"/>
    <w:pPr>
      <w:ind w:left="720"/>
      <w:contextualSpacing/>
    </w:pPr>
  </w:style>
  <w:style w:type="character" w:styleId="IntenseEmphasis">
    <w:name w:val="Intense Emphasis"/>
    <w:basedOn w:val="DefaultParagraphFont"/>
    <w:uiPriority w:val="21"/>
    <w:qFormat/>
    <w:rsid w:val="00296BD3"/>
    <w:rPr>
      <w:i/>
      <w:iCs/>
      <w:color w:val="0F4761" w:themeColor="accent1" w:themeShade="BF"/>
    </w:rPr>
  </w:style>
  <w:style w:type="paragraph" w:styleId="IntenseQuote">
    <w:name w:val="Intense Quote"/>
    <w:basedOn w:val="Normal"/>
    <w:next w:val="Normal"/>
    <w:link w:val="IntenseQuoteChar"/>
    <w:uiPriority w:val="30"/>
    <w:qFormat/>
    <w:rsid w:val="00296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BD3"/>
    <w:rPr>
      <w:i/>
      <w:iCs/>
      <w:color w:val="0F4761" w:themeColor="accent1" w:themeShade="BF"/>
    </w:rPr>
  </w:style>
  <w:style w:type="character" w:styleId="IntenseReference">
    <w:name w:val="Intense Reference"/>
    <w:basedOn w:val="DefaultParagraphFont"/>
    <w:uiPriority w:val="32"/>
    <w:qFormat/>
    <w:rsid w:val="00296BD3"/>
    <w:rPr>
      <w:b/>
      <w:bCs/>
      <w:smallCaps/>
      <w:color w:val="0F4761" w:themeColor="accent1" w:themeShade="BF"/>
      <w:spacing w:val="5"/>
    </w:rPr>
  </w:style>
  <w:style w:type="character" w:styleId="Hyperlink">
    <w:name w:val="Hyperlink"/>
    <w:basedOn w:val="DefaultParagraphFont"/>
    <w:uiPriority w:val="99"/>
    <w:unhideWhenUsed/>
    <w:rsid w:val="00642D28"/>
    <w:rPr>
      <w:color w:val="467886" w:themeColor="hyperlink"/>
      <w:u w:val="single"/>
    </w:rPr>
  </w:style>
  <w:style w:type="character" w:styleId="UnresolvedMention">
    <w:name w:val="Unresolved Mention"/>
    <w:basedOn w:val="DefaultParagraphFont"/>
    <w:uiPriority w:val="99"/>
    <w:semiHidden/>
    <w:unhideWhenUsed/>
    <w:rsid w:val="00642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Hill</dc:creator>
  <cp:keywords/>
  <dc:description/>
  <cp:lastModifiedBy>Jessica Hill</cp:lastModifiedBy>
  <cp:revision>5</cp:revision>
  <dcterms:created xsi:type="dcterms:W3CDTF">2026-04-24T00:05:00Z</dcterms:created>
  <dcterms:modified xsi:type="dcterms:W3CDTF">2026-05-01T03:25:00Z</dcterms:modified>
</cp:coreProperties>
</file>