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6DCA" w14:textId="00BF2598" w:rsidR="00407247" w:rsidRDefault="00FC3FE0" w:rsidP="003B19F1">
      <w:pPr>
        <w:tabs>
          <w:tab w:val="left" w:pos="3240"/>
        </w:tabs>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Youth Le</w:t>
      </w:r>
      <w:r w:rsidR="00AB2876">
        <w:rPr>
          <w:rFonts w:ascii="Arial" w:hAnsi="Arial" w:cs="Arial"/>
          <w:b/>
          <w:bCs/>
          <w:color w:val="000000" w:themeColor="text1"/>
          <w:sz w:val="24"/>
          <w:szCs w:val="24"/>
        </w:rPr>
        <w:t xml:space="preserve">d </w:t>
      </w:r>
      <w:r w:rsidR="00E9726F">
        <w:rPr>
          <w:rFonts w:ascii="Arial" w:hAnsi="Arial" w:cs="Arial"/>
          <w:b/>
          <w:bCs/>
          <w:color w:val="000000" w:themeColor="text1"/>
          <w:sz w:val="24"/>
          <w:szCs w:val="24"/>
        </w:rPr>
        <w:t>community</w:t>
      </w:r>
      <w:r w:rsidR="00AB2876">
        <w:rPr>
          <w:rFonts w:ascii="Arial" w:hAnsi="Arial" w:cs="Arial"/>
          <w:b/>
          <w:bCs/>
          <w:color w:val="000000" w:themeColor="text1"/>
          <w:sz w:val="24"/>
          <w:szCs w:val="24"/>
        </w:rPr>
        <w:t xml:space="preserve"> outreach</w:t>
      </w:r>
      <w:r w:rsidR="00E9726F">
        <w:rPr>
          <w:rFonts w:ascii="Arial" w:hAnsi="Arial" w:cs="Arial"/>
          <w:b/>
          <w:bCs/>
          <w:color w:val="000000" w:themeColor="text1"/>
          <w:sz w:val="24"/>
          <w:szCs w:val="24"/>
        </w:rPr>
        <w:t xml:space="preserve"> sexual health promotion, testing and </w:t>
      </w:r>
      <w:proofErr w:type="spellStart"/>
      <w:r w:rsidR="00E9726F">
        <w:rPr>
          <w:rFonts w:ascii="Arial" w:hAnsi="Arial" w:cs="Arial"/>
          <w:b/>
          <w:bCs/>
          <w:color w:val="000000" w:themeColor="text1"/>
          <w:sz w:val="24"/>
          <w:szCs w:val="24"/>
        </w:rPr>
        <w:t>PrEP</w:t>
      </w:r>
      <w:proofErr w:type="spellEnd"/>
      <w:r w:rsidR="00D06CCB">
        <w:rPr>
          <w:rFonts w:ascii="Arial" w:hAnsi="Arial" w:cs="Arial"/>
          <w:b/>
          <w:bCs/>
          <w:color w:val="000000" w:themeColor="text1"/>
          <w:sz w:val="24"/>
          <w:szCs w:val="24"/>
        </w:rPr>
        <w:t xml:space="preserve"> commencement in PNG</w:t>
      </w:r>
    </w:p>
    <w:p w14:paraId="10EB6DCB"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10EB6DCC" w14:textId="77777777" w:rsidR="004F2B04" w:rsidRPr="003E1B24" w:rsidRDefault="004F2B04" w:rsidP="003B19F1">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14:paraId="10EB6DCD" w14:textId="1AF0E0AF" w:rsidR="004F2B04" w:rsidRPr="005C11E5" w:rsidRDefault="005F5C37" w:rsidP="003B19F1">
      <w:pPr>
        <w:tabs>
          <w:tab w:val="left" w:pos="3240"/>
        </w:tabs>
        <w:spacing w:after="0" w:line="240" w:lineRule="auto"/>
        <w:rPr>
          <w:rFonts w:ascii="Arial" w:hAnsi="Arial" w:cs="Arial"/>
          <w:bCs/>
          <w:sz w:val="24"/>
          <w:szCs w:val="24"/>
          <w:vertAlign w:val="superscript"/>
        </w:rPr>
      </w:pPr>
      <w:r w:rsidRPr="00161F7B">
        <w:rPr>
          <w:rFonts w:ascii="Arial" w:hAnsi="Arial" w:cs="Arial"/>
          <w:bCs/>
          <w:sz w:val="24"/>
          <w:szCs w:val="24"/>
          <w:u w:val="single"/>
        </w:rPr>
        <w:t>Jayke Meki</w:t>
      </w:r>
      <w:r w:rsidR="009D4A86">
        <w:rPr>
          <w:rFonts w:ascii="Arial" w:hAnsi="Arial" w:cs="Arial"/>
          <w:bCs/>
          <w:sz w:val="24"/>
          <w:szCs w:val="24"/>
          <w:u w:val="single"/>
          <w:vertAlign w:val="superscript"/>
        </w:rPr>
        <w:t>1</w:t>
      </w:r>
      <w:r w:rsidR="00161F7B">
        <w:rPr>
          <w:rFonts w:ascii="Arial" w:hAnsi="Arial" w:cs="Arial"/>
          <w:bCs/>
          <w:sz w:val="24"/>
          <w:szCs w:val="24"/>
        </w:rPr>
        <w:t>, Lesley Bola</w:t>
      </w:r>
      <w:r w:rsidR="00AE4D1F">
        <w:rPr>
          <w:rFonts w:ascii="Arial" w:hAnsi="Arial" w:cs="Arial"/>
          <w:bCs/>
          <w:sz w:val="24"/>
          <w:szCs w:val="24"/>
          <w:vertAlign w:val="superscript"/>
        </w:rPr>
        <w:t>2</w:t>
      </w:r>
    </w:p>
    <w:p w14:paraId="10EB6DD7" w14:textId="02626ABC" w:rsidR="004F2B04" w:rsidRPr="00AE4D1F" w:rsidRDefault="00AE4D1F" w:rsidP="00AE4D1F">
      <w:pPr>
        <w:pStyle w:val="ListParagraph"/>
        <w:numPr>
          <w:ilvl w:val="0"/>
          <w:numId w:val="8"/>
        </w:numPr>
        <w:rPr>
          <w:rFonts w:ascii="Arial" w:hAnsi="Arial" w:cs="Arial"/>
          <w:i/>
        </w:rPr>
      </w:pPr>
      <w:r w:rsidRPr="00AE4D1F">
        <w:rPr>
          <w:rFonts w:ascii="Arial" w:hAnsi="Arial" w:cs="Arial"/>
          <w:i/>
        </w:rPr>
        <w:t xml:space="preserve">Youth Lead Rise PNG and </w:t>
      </w:r>
      <w:r w:rsidR="00FB1815" w:rsidRPr="00AE4D1F">
        <w:rPr>
          <w:rFonts w:ascii="Arial" w:hAnsi="Arial" w:cs="Arial"/>
          <w:i/>
        </w:rPr>
        <w:t>Key Populations Advocacy Consortium</w:t>
      </w:r>
      <w:r>
        <w:rPr>
          <w:rFonts w:ascii="Arial" w:hAnsi="Arial" w:cs="Arial"/>
          <w:i/>
        </w:rPr>
        <w:t xml:space="preserve"> (KPAC)</w:t>
      </w:r>
      <w:r w:rsidR="00FB1815" w:rsidRPr="00AE4D1F">
        <w:rPr>
          <w:rFonts w:ascii="Arial" w:hAnsi="Arial" w:cs="Arial"/>
          <w:i/>
        </w:rPr>
        <w:t>, Papua New Guinea</w:t>
      </w:r>
    </w:p>
    <w:p w14:paraId="22B32C11" w14:textId="524ED02F" w:rsidR="00AE4D1F" w:rsidRPr="00AE4D1F" w:rsidRDefault="00AE4D1F" w:rsidP="00AE4D1F">
      <w:pPr>
        <w:pStyle w:val="ListParagraph"/>
        <w:numPr>
          <w:ilvl w:val="0"/>
          <w:numId w:val="8"/>
        </w:numPr>
        <w:rPr>
          <w:rFonts w:ascii="Arial" w:hAnsi="Arial" w:cs="Arial"/>
        </w:rPr>
      </w:pPr>
      <w:r w:rsidRPr="00AE4D1F">
        <w:rPr>
          <w:rFonts w:ascii="Arial" w:hAnsi="Arial" w:cs="Arial"/>
          <w:i/>
        </w:rPr>
        <w:t>Key Populations Advocacy Consortium</w:t>
      </w:r>
      <w:r>
        <w:rPr>
          <w:rFonts w:ascii="Arial" w:hAnsi="Arial" w:cs="Arial"/>
          <w:i/>
        </w:rPr>
        <w:t xml:space="preserve"> (KPAC)</w:t>
      </w:r>
      <w:r w:rsidRPr="00AE4D1F">
        <w:rPr>
          <w:rFonts w:ascii="Arial" w:hAnsi="Arial" w:cs="Arial"/>
          <w:i/>
        </w:rPr>
        <w:t>, Papua New Guinea</w:t>
      </w:r>
    </w:p>
    <w:p w14:paraId="10EB6DD8" w14:textId="77777777" w:rsidR="00F43D10" w:rsidRPr="003E1B24" w:rsidRDefault="00F43D10" w:rsidP="003B19F1">
      <w:pPr>
        <w:spacing w:after="0" w:line="240" w:lineRule="auto"/>
        <w:rPr>
          <w:rFonts w:ascii="Arial" w:hAnsi="Arial" w:cs="Arial"/>
          <w:sz w:val="24"/>
          <w:szCs w:val="24"/>
        </w:rPr>
      </w:pPr>
    </w:p>
    <w:p w14:paraId="10EB6DD9" w14:textId="20D76FAB" w:rsidR="00675807" w:rsidRPr="003E1B24" w:rsidRDefault="009617CA" w:rsidP="003B19F1">
      <w:pPr>
        <w:spacing w:after="0" w:line="240" w:lineRule="auto"/>
        <w:rPr>
          <w:rFonts w:ascii="Arial" w:hAnsi="Arial" w:cs="Arial"/>
          <w:b/>
          <w:sz w:val="24"/>
          <w:szCs w:val="24"/>
        </w:rPr>
      </w:pPr>
      <w:r>
        <w:rPr>
          <w:rFonts w:ascii="Arial" w:hAnsi="Arial" w:cs="Arial"/>
          <w:b/>
          <w:sz w:val="24"/>
          <w:szCs w:val="24"/>
        </w:rPr>
        <w:t>Background/</w:t>
      </w:r>
      <w:r w:rsidR="001352E8">
        <w:rPr>
          <w:rFonts w:ascii="Arial" w:hAnsi="Arial" w:cs="Arial"/>
          <w:b/>
          <w:sz w:val="24"/>
          <w:szCs w:val="24"/>
        </w:rPr>
        <w:t>Purpose</w:t>
      </w:r>
      <w:r w:rsidR="00675807" w:rsidRPr="003E1B24">
        <w:rPr>
          <w:rFonts w:ascii="Arial" w:hAnsi="Arial" w:cs="Arial"/>
          <w:b/>
          <w:sz w:val="24"/>
          <w:szCs w:val="24"/>
        </w:rPr>
        <w:t>:</w:t>
      </w:r>
    </w:p>
    <w:p w14:paraId="3E700F43" w14:textId="0EEE47A2" w:rsidR="00570F9E" w:rsidRPr="00570F9E" w:rsidRDefault="00570F9E" w:rsidP="00570F9E">
      <w:pPr>
        <w:rPr>
          <w:rFonts w:ascii="Arial" w:hAnsi="Arial" w:cs="Arial"/>
          <w:sz w:val="24"/>
          <w:szCs w:val="24"/>
        </w:rPr>
      </w:pPr>
      <w:r w:rsidRPr="00570F9E">
        <w:rPr>
          <w:rFonts w:ascii="Arial" w:hAnsi="Arial" w:cs="Arial"/>
          <w:sz w:val="24"/>
          <w:szCs w:val="24"/>
        </w:rPr>
        <w:t xml:space="preserve">In Papua New Guinea 30 people are screened for HIV </w:t>
      </w:r>
      <w:proofErr w:type="spellStart"/>
      <w:r w:rsidRPr="00570F9E">
        <w:rPr>
          <w:rFonts w:ascii="Arial" w:hAnsi="Arial" w:cs="Arial"/>
          <w:sz w:val="24"/>
          <w:szCs w:val="24"/>
        </w:rPr>
        <w:t>everyday</w:t>
      </w:r>
      <w:proofErr w:type="spellEnd"/>
      <w:r w:rsidRPr="00570F9E">
        <w:rPr>
          <w:rFonts w:ascii="Arial" w:hAnsi="Arial" w:cs="Arial"/>
          <w:sz w:val="24"/>
          <w:szCs w:val="24"/>
        </w:rPr>
        <w:t>. Two to three people out of the 30 are young people from the key populations—including men who have sex with men (MSM), transgender individuals, and young female sex workers</w:t>
      </w:r>
      <w:r w:rsidR="00E11795">
        <w:rPr>
          <w:rFonts w:ascii="Arial" w:hAnsi="Arial" w:cs="Arial"/>
          <w:sz w:val="24"/>
          <w:szCs w:val="24"/>
        </w:rPr>
        <w:t xml:space="preserve"> (FSW)</w:t>
      </w:r>
      <w:r w:rsidRPr="00570F9E">
        <w:rPr>
          <w:rFonts w:ascii="Arial" w:hAnsi="Arial" w:cs="Arial"/>
          <w:sz w:val="24"/>
          <w:szCs w:val="24"/>
        </w:rPr>
        <w:t xml:space="preserve"> aged 16–25</w:t>
      </w:r>
      <w:r w:rsidR="005F7840">
        <w:rPr>
          <w:rFonts w:ascii="Arial" w:hAnsi="Arial" w:cs="Arial"/>
          <w:sz w:val="24"/>
          <w:szCs w:val="24"/>
        </w:rPr>
        <w:t xml:space="preserve"> </w:t>
      </w:r>
      <w:r w:rsidRPr="00570F9E">
        <w:rPr>
          <w:rFonts w:ascii="Arial" w:hAnsi="Arial" w:cs="Arial"/>
          <w:sz w:val="24"/>
          <w:szCs w:val="24"/>
        </w:rPr>
        <w:t>—</w:t>
      </w:r>
      <w:r w:rsidR="005F7840">
        <w:rPr>
          <w:rFonts w:ascii="Arial" w:hAnsi="Arial" w:cs="Arial"/>
          <w:sz w:val="24"/>
          <w:szCs w:val="24"/>
        </w:rPr>
        <w:t xml:space="preserve"> who </w:t>
      </w:r>
      <w:r w:rsidRPr="00570F9E">
        <w:rPr>
          <w:rFonts w:ascii="Arial" w:hAnsi="Arial" w:cs="Arial"/>
          <w:sz w:val="24"/>
          <w:szCs w:val="24"/>
        </w:rPr>
        <w:t xml:space="preserve">remain at high risk of HIV. To overcome barriers such as </w:t>
      </w:r>
      <w:r w:rsidR="004A78FB">
        <w:rPr>
          <w:rFonts w:ascii="Arial" w:hAnsi="Arial" w:cs="Arial"/>
          <w:sz w:val="24"/>
          <w:szCs w:val="24"/>
        </w:rPr>
        <w:t xml:space="preserve">illegality, </w:t>
      </w:r>
      <w:r w:rsidRPr="00570F9E">
        <w:rPr>
          <w:rFonts w:ascii="Arial" w:hAnsi="Arial" w:cs="Arial"/>
          <w:sz w:val="24"/>
          <w:szCs w:val="24"/>
        </w:rPr>
        <w:t xml:space="preserve">stigma, limited awareness, and poor access to services, the </w:t>
      </w:r>
      <w:r w:rsidR="004A78FB">
        <w:rPr>
          <w:rFonts w:ascii="Arial" w:hAnsi="Arial" w:cs="Arial"/>
          <w:sz w:val="24"/>
          <w:szCs w:val="24"/>
        </w:rPr>
        <w:t>Key Population Advocacy Consortium (</w:t>
      </w:r>
      <w:r w:rsidRPr="00570F9E">
        <w:rPr>
          <w:rFonts w:ascii="Arial" w:hAnsi="Arial" w:cs="Arial"/>
          <w:sz w:val="24"/>
          <w:szCs w:val="24"/>
        </w:rPr>
        <w:t>KPAC</w:t>
      </w:r>
      <w:r w:rsidR="004A78FB">
        <w:rPr>
          <w:rFonts w:ascii="Arial" w:hAnsi="Arial" w:cs="Arial"/>
          <w:sz w:val="24"/>
          <w:szCs w:val="24"/>
        </w:rPr>
        <w:t>)</w:t>
      </w:r>
      <w:r w:rsidRPr="00570F9E">
        <w:rPr>
          <w:rFonts w:ascii="Arial" w:hAnsi="Arial" w:cs="Arial"/>
          <w:sz w:val="24"/>
          <w:szCs w:val="24"/>
        </w:rPr>
        <w:t xml:space="preserve"> outreach program combined community-based screening and testing (CBST) with immediate initiation of pre-exposure prophylaxis (</w:t>
      </w:r>
      <w:proofErr w:type="spellStart"/>
      <w:r w:rsidRPr="00570F9E">
        <w:rPr>
          <w:rFonts w:ascii="Arial" w:hAnsi="Arial" w:cs="Arial"/>
          <w:sz w:val="24"/>
          <w:szCs w:val="24"/>
        </w:rPr>
        <w:t>PrEP</w:t>
      </w:r>
      <w:proofErr w:type="spellEnd"/>
      <w:r w:rsidRPr="00570F9E">
        <w:rPr>
          <w:rFonts w:ascii="Arial" w:hAnsi="Arial" w:cs="Arial"/>
          <w:sz w:val="24"/>
          <w:szCs w:val="24"/>
        </w:rPr>
        <w:t>).</w:t>
      </w:r>
    </w:p>
    <w:p w14:paraId="10EB6DDB" w14:textId="3740FCB8" w:rsidR="009617CA" w:rsidRPr="003E1B24" w:rsidRDefault="009617CA" w:rsidP="009617CA">
      <w:pPr>
        <w:spacing w:after="0" w:line="240" w:lineRule="auto"/>
        <w:rPr>
          <w:rFonts w:ascii="Arial" w:hAnsi="Arial" w:cs="Arial"/>
          <w:sz w:val="24"/>
          <w:szCs w:val="24"/>
        </w:rPr>
      </w:pPr>
    </w:p>
    <w:p w14:paraId="10EB6DDC" w14:textId="13D28092" w:rsidR="009617CA" w:rsidRPr="003E1B24" w:rsidRDefault="001352E8" w:rsidP="009617CA">
      <w:pPr>
        <w:spacing w:after="0" w:line="240" w:lineRule="auto"/>
        <w:rPr>
          <w:rFonts w:ascii="Arial" w:hAnsi="Arial" w:cs="Arial"/>
          <w:b/>
          <w:sz w:val="24"/>
          <w:szCs w:val="24"/>
        </w:rPr>
      </w:pPr>
      <w:r>
        <w:rPr>
          <w:rFonts w:ascii="Arial" w:hAnsi="Arial" w:cs="Arial"/>
          <w:b/>
          <w:sz w:val="24"/>
          <w:szCs w:val="24"/>
        </w:rPr>
        <w:t>Approach:</w:t>
      </w:r>
    </w:p>
    <w:p w14:paraId="10EB6DDD" w14:textId="3DDB52F2" w:rsidR="009617CA" w:rsidRPr="003E1B24" w:rsidRDefault="002D35DA" w:rsidP="009617CA">
      <w:pPr>
        <w:spacing w:after="0" w:line="240" w:lineRule="auto"/>
        <w:rPr>
          <w:rFonts w:ascii="Arial" w:hAnsi="Arial" w:cs="Arial"/>
          <w:b/>
          <w:sz w:val="24"/>
          <w:szCs w:val="24"/>
        </w:rPr>
      </w:pPr>
      <w:r>
        <w:rPr>
          <w:rFonts w:ascii="Arial" w:hAnsi="Arial" w:cs="Arial"/>
          <w:sz w:val="24"/>
          <w:szCs w:val="24"/>
        </w:rPr>
        <w:t xml:space="preserve">Young people were recruited to deliver </w:t>
      </w:r>
      <w:r w:rsidR="007C699F">
        <w:rPr>
          <w:rFonts w:ascii="Arial" w:hAnsi="Arial" w:cs="Arial"/>
          <w:sz w:val="24"/>
          <w:szCs w:val="24"/>
        </w:rPr>
        <w:t>youth to youth information provision around testing for HIV and syphilis, condom use</w:t>
      </w:r>
      <w:r w:rsidR="00CA4959">
        <w:rPr>
          <w:rFonts w:ascii="Arial" w:hAnsi="Arial" w:cs="Arial"/>
          <w:sz w:val="24"/>
          <w:szCs w:val="24"/>
        </w:rPr>
        <w:t xml:space="preserve">, and </w:t>
      </w:r>
      <w:proofErr w:type="gramStart"/>
      <w:r w:rsidR="00CA4959">
        <w:rPr>
          <w:rFonts w:ascii="Arial" w:hAnsi="Arial" w:cs="Arial"/>
          <w:sz w:val="24"/>
          <w:szCs w:val="24"/>
        </w:rPr>
        <w:t>pre exposure</w:t>
      </w:r>
      <w:proofErr w:type="gramEnd"/>
      <w:r w:rsidR="00CA4959">
        <w:rPr>
          <w:rFonts w:ascii="Arial" w:hAnsi="Arial" w:cs="Arial"/>
          <w:sz w:val="24"/>
          <w:szCs w:val="24"/>
        </w:rPr>
        <w:t xml:space="preserve"> prophylaxis (</w:t>
      </w:r>
      <w:proofErr w:type="spellStart"/>
      <w:r w:rsidR="00CA4959">
        <w:rPr>
          <w:rFonts w:ascii="Arial" w:hAnsi="Arial" w:cs="Arial"/>
          <w:sz w:val="24"/>
          <w:szCs w:val="24"/>
        </w:rPr>
        <w:t>PrEP</w:t>
      </w:r>
      <w:proofErr w:type="spellEnd"/>
      <w:r w:rsidR="00CA4959">
        <w:rPr>
          <w:rFonts w:ascii="Arial" w:hAnsi="Arial" w:cs="Arial"/>
          <w:sz w:val="24"/>
          <w:szCs w:val="24"/>
        </w:rPr>
        <w:t>)</w:t>
      </w:r>
      <w:r w:rsidR="00707A25">
        <w:rPr>
          <w:rFonts w:ascii="Arial" w:hAnsi="Arial" w:cs="Arial"/>
          <w:sz w:val="24"/>
          <w:szCs w:val="24"/>
        </w:rPr>
        <w:t xml:space="preserve"> availability. </w:t>
      </w:r>
    </w:p>
    <w:p w14:paraId="10EB6DDE" w14:textId="77777777" w:rsidR="009617CA" w:rsidRPr="003E1B24" w:rsidRDefault="009617CA" w:rsidP="009617CA">
      <w:pPr>
        <w:spacing w:after="0" w:line="240" w:lineRule="auto"/>
        <w:rPr>
          <w:rFonts w:ascii="Arial" w:hAnsi="Arial" w:cs="Arial"/>
          <w:sz w:val="24"/>
          <w:szCs w:val="24"/>
        </w:rPr>
      </w:pPr>
    </w:p>
    <w:p w14:paraId="10EB6DDF" w14:textId="0D9B2CA5" w:rsidR="009617CA" w:rsidRPr="003E1B24" w:rsidRDefault="009617CA" w:rsidP="009617CA">
      <w:pPr>
        <w:spacing w:after="0" w:line="240" w:lineRule="auto"/>
        <w:rPr>
          <w:rFonts w:ascii="Arial" w:hAnsi="Arial" w:cs="Arial"/>
          <w:b/>
          <w:sz w:val="24"/>
          <w:szCs w:val="24"/>
        </w:rPr>
      </w:pPr>
      <w:r>
        <w:rPr>
          <w:rFonts w:ascii="Arial" w:hAnsi="Arial" w:cs="Arial"/>
          <w:b/>
          <w:sz w:val="24"/>
          <w:szCs w:val="24"/>
        </w:rPr>
        <w:t>Outcome</w:t>
      </w:r>
      <w:r w:rsidR="001352E8">
        <w:rPr>
          <w:rFonts w:ascii="Arial" w:hAnsi="Arial" w:cs="Arial"/>
          <w:b/>
          <w:sz w:val="24"/>
          <w:szCs w:val="24"/>
        </w:rPr>
        <w:t>s/Impact</w:t>
      </w:r>
      <w:r w:rsidRPr="003E1B24">
        <w:rPr>
          <w:rFonts w:ascii="Arial" w:hAnsi="Arial" w:cs="Arial"/>
          <w:b/>
          <w:sz w:val="24"/>
          <w:szCs w:val="24"/>
        </w:rPr>
        <w:t>:</w:t>
      </w:r>
    </w:p>
    <w:p w14:paraId="6B0B4939" w14:textId="5244C2DA" w:rsidR="007A2525" w:rsidRPr="007A2525" w:rsidRDefault="007A2525" w:rsidP="007A2525">
      <w:pPr>
        <w:rPr>
          <w:rFonts w:ascii="Arial" w:hAnsi="Arial" w:cs="Arial"/>
          <w:sz w:val="24"/>
          <w:szCs w:val="24"/>
        </w:rPr>
      </w:pPr>
      <w:r w:rsidRPr="007A2525">
        <w:rPr>
          <w:rFonts w:ascii="Arial" w:hAnsi="Arial" w:cs="Arial"/>
          <w:sz w:val="24"/>
          <w:szCs w:val="24"/>
        </w:rPr>
        <w:t>Between June and December 2025, outreach teams reached 4,609 individuals, of whom 4,028 were tested for HIV. Among th</w:t>
      </w:r>
      <w:r w:rsidR="00E11795">
        <w:rPr>
          <w:rFonts w:ascii="Arial" w:hAnsi="Arial" w:cs="Arial"/>
          <w:sz w:val="24"/>
          <w:szCs w:val="24"/>
        </w:rPr>
        <w:t xml:space="preserve">ese, </w:t>
      </w:r>
      <w:r w:rsidRPr="007A2525">
        <w:rPr>
          <w:rFonts w:ascii="Arial" w:hAnsi="Arial" w:cs="Arial"/>
          <w:sz w:val="24"/>
          <w:szCs w:val="24"/>
        </w:rPr>
        <w:t xml:space="preserve">422 were </w:t>
      </w:r>
      <w:r w:rsidR="00E11795">
        <w:rPr>
          <w:rFonts w:ascii="Arial" w:hAnsi="Arial" w:cs="Arial"/>
          <w:sz w:val="24"/>
          <w:szCs w:val="24"/>
        </w:rPr>
        <w:t>FSW</w:t>
      </w:r>
      <w:r w:rsidRPr="007A2525">
        <w:rPr>
          <w:rFonts w:ascii="Arial" w:hAnsi="Arial" w:cs="Arial"/>
          <w:sz w:val="24"/>
          <w:szCs w:val="24"/>
        </w:rPr>
        <w:t xml:space="preserve"> and 330 were MSM and transgender individuals. A total of 437 participants</w:t>
      </w:r>
      <w:r w:rsidR="00E11795">
        <w:rPr>
          <w:rFonts w:ascii="Arial" w:hAnsi="Arial" w:cs="Arial"/>
          <w:sz w:val="24"/>
          <w:szCs w:val="24"/>
        </w:rPr>
        <w:t xml:space="preserve"> were </w:t>
      </w:r>
      <w:r w:rsidRPr="007A2525">
        <w:rPr>
          <w:rFonts w:ascii="Arial" w:hAnsi="Arial" w:cs="Arial"/>
          <w:sz w:val="24"/>
          <w:szCs w:val="24"/>
        </w:rPr>
        <w:t xml:space="preserve">initiated </w:t>
      </w:r>
      <w:r w:rsidR="00E11795">
        <w:rPr>
          <w:rFonts w:ascii="Arial" w:hAnsi="Arial" w:cs="Arial"/>
          <w:sz w:val="24"/>
          <w:szCs w:val="24"/>
        </w:rPr>
        <w:t xml:space="preserve">on </w:t>
      </w:r>
      <w:proofErr w:type="spellStart"/>
      <w:r w:rsidRPr="007A2525">
        <w:rPr>
          <w:rFonts w:ascii="Arial" w:hAnsi="Arial" w:cs="Arial"/>
          <w:sz w:val="24"/>
          <w:szCs w:val="24"/>
        </w:rPr>
        <w:t>PrEP</w:t>
      </w:r>
      <w:proofErr w:type="spellEnd"/>
      <w:r w:rsidRPr="007A2525">
        <w:rPr>
          <w:rFonts w:ascii="Arial" w:hAnsi="Arial" w:cs="Arial"/>
          <w:sz w:val="24"/>
          <w:szCs w:val="24"/>
        </w:rPr>
        <w:t xml:space="preserve">, with 83.4% of young people remaining on </w:t>
      </w:r>
      <w:proofErr w:type="spellStart"/>
      <w:r w:rsidRPr="007A2525">
        <w:rPr>
          <w:rFonts w:ascii="Arial" w:hAnsi="Arial" w:cs="Arial"/>
          <w:sz w:val="24"/>
          <w:szCs w:val="24"/>
        </w:rPr>
        <w:t>PrEP</w:t>
      </w:r>
      <w:proofErr w:type="spellEnd"/>
      <w:r w:rsidRPr="007A2525">
        <w:rPr>
          <w:rFonts w:ascii="Arial" w:hAnsi="Arial" w:cs="Arial"/>
          <w:sz w:val="24"/>
          <w:szCs w:val="24"/>
        </w:rPr>
        <w:t xml:space="preserve"> and 133 returning for refills. HIV testing identified 124 positive cases (14.4%), and 65 individuals (13%) were successfully linked to antiretroviral therapy (ART).</w:t>
      </w:r>
      <w:r w:rsidR="00D51C2B">
        <w:rPr>
          <w:rFonts w:ascii="Arial" w:hAnsi="Arial" w:cs="Arial"/>
          <w:sz w:val="24"/>
          <w:szCs w:val="24"/>
        </w:rPr>
        <w:t xml:space="preserve">  Updated 10 months of data will be presented.</w:t>
      </w:r>
    </w:p>
    <w:p w14:paraId="10EB6DE1" w14:textId="77777777" w:rsidR="00675807" w:rsidRPr="003E1B24" w:rsidRDefault="00675807" w:rsidP="003B19F1">
      <w:pPr>
        <w:spacing w:after="0" w:line="240" w:lineRule="auto"/>
        <w:rPr>
          <w:rFonts w:ascii="Arial" w:hAnsi="Arial" w:cs="Arial"/>
          <w:sz w:val="24"/>
          <w:szCs w:val="24"/>
        </w:rPr>
      </w:pPr>
    </w:p>
    <w:p w14:paraId="10EB6DE2" w14:textId="0104A379" w:rsidR="00675807" w:rsidRPr="003E1B24" w:rsidRDefault="000542BE" w:rsidP="003B19F1">
      <w:pPr>
        <w:spacing w:after="0" w:line="240" w:lineRule="auto"/>
        <w:jc w:val="both"/>
        <w:rPr>
          <w:rFonts w:ascii="Arial" w:hAnsi="Arial" w:cs="Arial"/>
          <w:b/>
          <w:sz w:val="24"/>
          <w:szCs w:val="24"/>
        </w:rPr>
      </w:pPr>
      <w:r>
        <w:rPr>
          <w:rFonts w:ascii="Arial" w:hAnsi="Arial" w:cs="Arial"/>
          <w:b/>
          <w:sz w:val="24"/>
          <w:szCs w:val="24"/>
        </w:rPr>
        <w:t>Innovation</w:t>
      </w:r>
      <w:r w:rsidR="001352E8">
        <w:rPr>
          <w:rFonts w:ascii="Arial" w:hAnsi="Arial" w:cs="Arial"/>
          <w:b/>
          <w:sz w:val="24"/>
          <w:szCs w:val="24"/>
        </w:rPr>
        <w:t xml:space="preserve"> and Significance</w:t>
      </w:r>
      <w:r w:rsidR="00675807" w:rsidRPr="003E1B24">
        <w:rPr>
          <w:rFonts w:ascii="Arial" w:hAnsi="Arial" w:cs="Arial"/>
          <w:b/>
          <w:sz w:val="24"/>
          <w:szCs w:val="24"/>
        </w:rPr>
        <w:t>:</w:t>
      </w:r>
    </w:p>
    <w:p w14:paraId="095399A2" w14:textId="77777777" w:rsidR="005F54C5" w:rsidRPr="005F54C5" w:rsidRDefault="005F54C5" w:rsidP="005F54C5">
      <w:pPr>
        <w:rPr>
          <w:rFonts w:ascii="Arial" w:hAnsi="Arial" w:cs="Arial"/>
          <w:sz w:val="24"/>
          <w:szCs w:val="24"/>
        </w:rPr>
      </w:pPr>
      <w:r w:rsidRPr="005F54C5">
        <w:rPr>
          <w:rFonts w:ascii="Arial" w:hAnsi="Arial" w:cs="Arial"/>
          <w:sz w:val="24"/>
          <w:szCs w:val="24"/>
        </w:rPr>
        <w:t>Several strategies contributed to the success of this outreach:</w:t>
      </w:r>
    </w:p>
    <w:p w14:paraId="6739855C" w14:textId="77777777" w:rsidR="005F54C5" w:rsidRPr="005F54C5" w:rsidRDefault="005F54C5" w:rsidP="005F54C5">
      <w:pPr>
        <w:rPr>
          <w:rFonts w:ascii="Arial" w:hAnsi="Arial" w:cs="Arial"/>
          <w:sz w:val="24"/>
          <w:szCs w:val="24"/>
        </w:rPr>
      </w:pPr>
      <w:r w:rsidRPr="005F54C5">
        <w:rPr>
          <w:rFonts w:ascii="Arial" w:hAnsi="Arial" w:cs="Arial"/>
          <w:sz w:val="24"/>
          <w:szCs w:val="24"/>
        </w:rPr>
        <w:t>• Hidden populations (MSM) were reached through online platforms, with trained peer outreach workers conducting virtual interventions to encourage HIV testing.</w:t>
      </w:r>
    </w:p>
    <w:p w14:paraId="24BE0C64" w14:textId="77777777" w:rsidR="005F54C5" w:rsidRPr="005F54C5" w:rsidRDefault="005F54C5" w:rsidP="005F54C5">
      <w:pPr>
        <w:rPr>
          <w:rFonts w:ascii="Arial" w:hAnsi="Arial" w:cs="Arial"/>
          <w:sz w:val="24"/>
          <w:szCs w:val="24"/>
        </w:rPr>
      </w:pPr>
      <w:r w:rsidRPr="005F54C5">
        <w:rPr>
          <w:rFonts w:ascii="Arial" w:hAnsi="Arial" w:cs="Arial"/>
          <w:sz w:val="24"/>
          <w:szCs w:val="24"/>
        </w:rPr>
        <w:t>• Timing and trusted key informants were used to provide secure environments for testing and treatment.</w:t>
      </w:r>
    </w:p>
    <w:p w14:paraId="29EE165F" w14:textId="77777777" w:rsidR="005F54C5" w:rsidRPr="005F54C5" w:rsidRDefault="005F54C5" w:rsidP="005F54C5">
      <w:pPr>
        <w:rPr>
          <w:rFonts w:ascii="Arial" w:hAnsi="Arial" w:cs="Arial"/>
          <w:sz w:val="24"/>
          <w:szCs w:val="24"/>
        </w:rPr>
      </w:pPr>
      <w:r w:rsidRPr="005F54C5">
        <w:rPr>
          <w:rFonts w:ascii="Arial" w:hAnsi="Arial" w:cs="Arial"/>
          <w:sz w:val="24"/>
          <w:szCs w:val="24"/>
        </w:rPr>
        <w:t>• Outreach workers were trained to use oral swab testing and deliver services directly in communities.</w:t>
      </w:r>
    </w:p>
    <w:p w14:paraId="2DDCFD46" w14:textId="77777777" w:rsidR="005F54C5" w:rsidRPr="005F54C5" w:rsidRDefault="005F54C5" w:rsidP="005F54C5">
      <w:pPr>
        <w:rPr>
          <w:rFonts w:ascii="Arial" w:hAnsi="Arial" w:cs="Arial"/>
          <w:sz w:val="24"/>
          <w:szCs w:val="24"/>
        </w:rPr>
      </w:pPr>
      <w:r w:rsidRPr="005F54C5">
        <w:rPr>
          <w:rFonts w:ascii="Arial" w:hAnsi="Arial" w:cs="Arial"/>
          <w:sz w:val="24"/>
          <w:szCs w:val="24"/>
        </w:rPr>
        <w:t xml:space="preserve">• Outreach workers were equipped to start </w:t>
      </w:r>
      <w:proofErr w:type="spellStart"/>
      <w:r w:rsidRPr="005F54C5">
        <w:rPr>
          <w:rFonts w:ascii="Arial" w:hAnsi="Arial" w:cs="Arial"/>
          <w:sz w:val="24"/>
          <w:szCs w:val="24"/>
        </w:rPr>
        <w:t>PrEP</w:t>
      </w:r>
      <w:proofErr w:type="spellEnd"/>
      <w:r w:rsidRPr="005F54C5">
        <w:rPr>
          <w:rFonts w:ascii="Arial" w:hAnsi="Arial" w:cs="Arial"/>
          <w:sz w:val="24"/>
          <w:szCs w:val="24"/>
        </w:rPr>
        <w:t xml:space="preserve"> outside of hospital facilities, making services more accessible.</w:t>
      </w:r>
    </w:p>
    <w:p w14:paraId="11ED3A34" w14:textId="77777777" w:rsidR="005F54C5" w:rsidRPr="005F54C5" w:rsidRDefault="005F54C5" w:rsidP="005F54C5">
      <w:pPr>
        <w:rPr>
          <w:rFonts w:ascii="Arial" w:hAnsi="Arial" w:cs="Arial"/>
          <w:sz w:val="24"/>
          <w:szCs w:val="24"/>
        </w:rPr>
      </w:pPr>
      <w:r w:rsidRPr="005F54C5">
        <w:rPr>
          <w:rFonts w:ascii="Arial" w:hAnsi="Arial" w:cs="Arial"/>
          <w:sz w:val="24"/>
          <w:szCs w:val="24"/>
        </w:rPr>
        <w:t>• KPAC Sunset Hub services, an evening hub operating between 5pm and 11pm provided extra services at convenient times, away from formal health facilities.</w:t>
      </w:r>
    </w:p>
    <w:p w14:paraId="54DE9336" w14:textId="77777777" w:rsidR="005F54C5" w:rsidRPr="005F54C5" w:rsidRDefault="005F54C5" w:rsidP="005F54C5">
      <w:pPr>
        <w:rPr>
          <w:rFonts w:ascii="Arial" w:hAnsi="Arial" w:cs="Arial"/>
          <w:sz w:val="24"/>
          <w:szCs w:val="24"/>
        </w:rPr>
      </w:pPr>
      <w:r w:rsidRPr="005F54C5">
        <w:rPr>
          <w:rFonts w:ascii="Arial" w:hAnsi="Arial" w:cs="Arial"/>
          <w:sz w:val="24"/>
          <w:szCs w:val="24"/>
        </w:rPr>
        <w:lastRenderedPageBreak/>
        <w:t xml:space="preserve">These results show that combining CBST with </w:t>
      </w:r>
      <w:proofErr w:type="spellStart"/>
      <w:r w:rsidRPr="005F54C5">
        <w:rPr>
          <w:rFonts w:ascii="Arial" w:hAnsi="Arial" w:cs="Arial"/>
          <w:sz w:val="24"/>
          <w:szCs w:val="24"/>
        </w:rPr>
        <w:t>PrEP</w:t>
      </w:r>
      <w:proofErr w:type="spellEnd"/>
      <w:r w:rsidRPr="005F54C5">
        <w:rPr>
          <w:rFonts w:ascii="Arial" w:hAnsi="Arial" w:cs="Arial"/>
          <w:sz w:val="24"/>
          <w:szCs w:val="24"/>
        </w:rPr>
        <w:t xml:space="preserve"> delivery, supported by innovative outreach strategies, can effectively reach marginalized youth, improve prevention uptake, and strengthen linkage to care. This model offers a practical and scalable approach to HIV prevention across the Pacific region.</w:t>
      </w:r>
    </w:p>
    <w:p w14:paraId="735FC649" w14:textId="77777777" w:rsidR="00B76D20" w:rsidRPr="003E1B24" w:rsidRDefault="00B76D20" w:rsidP="003B19F1">
      <w:pPr>
        <w:spacing w:after="0" w:line="240" w:lineRule="auto"/>
        <w:jc w:val="both"/>
        <w:rPr>
          <w:rFonts w:ascii="Arial" w:hAnsi="Arial" w:cs="Arial"/>
          <w:sz w:val="24"/>
          <w:szCs w:val="24"/>
        </w:rPr>
      </w:pPr>
    </w:p>
    <w:p w14:paraId="10EB6DE6" w14:textId="0E31E86B" w:rsidR="00541560" w:rsidRPr="00AE4D1F" w:rsidRDefault="00507492" w:rsidP="003B19F1">
      <w:pPr>
        <w:spacing w:after="0" w:line="240" w:lineRule="auto"/>
        <w:rPr>
          <w:rFonts w:ascii="Arial" w:eastAsia="Times New Roman" w:hAnsi="Arial" w:cs="Arial"/>
          <w:b/>
          <w:bCs/>
          <w:sz w:val="24"/>
          <w:szCs w:val="24"/>
        </w:rPr>
      </w:pPr>
      <w:r w:rsidRPr="00AE4D1F">
        <w:rPr>
          <w:rFonts w:ascii="Arial" w:eastAsia="Times New Roman" w:hAnsi="Arial" w:cs="Arial"/>
          <w:b/>
          <w:bCs/>
          <w:sz w:val="24"/>
          <w:szCs w:val="24"/>
        </w:rPr>
        <w:t>Disclosure of Interest Statement:</w:t>
      </w:r>
    </w:p>
    <w:p w14:paraId="52190CE3" w14:textId="75F5175A" w:rsidR="00AE4D1F" w:rsidRDefault="00AE4D1F" w:rsidP="00AE4D1F">
      <w:pPr>
        <w:rPr>
          <w:rFonts w:ascii="Arial" w:hAnsi="Arial" w:cs="Arial"/>
          <w:sz w:val="24"/>
          <w:szCs w:val="24"/>
        </w:rPr>
      </w:pPr>
      <w:r w:rsidRPr="00AE4D1F">
        <w:rPr>
          <w:rFonts w:ascii="Arial" w:hAnsi="Arial" w:cs="Arial"/>
          <w:sz w:val="24"/>
          <w:szCs w:val="24"/>
        </w:rPr>
        <w:t xml:space="preserve">Author is President of Youth Lead Rise PNG (a member of the Key Populations Advocacy Consortium (KPAC) PNG Inc. KPAC receives funding and technical support from Health Equity Matters, the Global Fund, and UNAIDS, as well as funding from the Australian Government through the Department of Foreign Affairs and Trade (DFAT) via Catholic Church Health Services (CCHS). Presenting author has received financial support via a scholarship from Health Equity Matters to participate in the symposium.   </w:t>
      </w:r>
    </w:p>
    <w:p w14:paraId="302A50AA" w14:textId="77777777" w:rsidR="008161BC" w:rsidRPr="008161BC" w:rsidRDefault="008161BC" w:rsidP="008161BC">
      <w:pPr>
        <w:rPr>
          <w:rFonts w:ascii="Arial" w:hAnsi="Arial" w:cs="Arial"/>
          <w:sz w:val="24"/>
          <w:szCs w:val="24"/>
          <w:lang w:val="en-GB"/>
        </w:rPr>
      </w:pPr>
      <w:r w:rsidRPr="008161BC">
        <w:rPr>
          <w:rFonts w:ascii="Arial" w:hAnsi="Arial" w:cs="Arial"/>
          <w:b/>
          <w:bCs/>
          <w:sz w:val="24"/>
          <w:szCs w:val="24"/>
          <w:lang w:val="en-US"/>
        </w:rPr>
        <w:t>AI Declaration:</w:t>
      </w:r>
      <w:r w:rsidRPr="008161BC">
        <w:rPr>
          <w:rFonts w:ascii="Arial" w:hAnsi="Arial" w:cs="Arial"/>
          <w:sz w:val="24"/>
          <w:szCs w:val="24"/>
          <w:lang w:val="en-US"/>
        </w:rPr>
        <w:t> AI was used for language editing and refinement of abstracts written by the author. All content; data, findings, and intellectual framing are the original work of the authors.</w:t>
      </w:r>
      <w:r w:rsidRPr="008161BC">
        <w:rPr>
          <w:rFonts w:ascii="Arial" w:hAnsi="Arial" w:cs="Arial"/>
          <w:sz w:val="24"/>
          <w:szCs w:val="24"/>
          <w:lang w:val="en-GB"/>
        </w:rPr>
        <w:t> </w:t>
      </w:r>
    </w:p>
    <w:p w14:paraId="0D725204" w14:textId="77777777" w:rsidR="008161BC" w:rsidRPr="00AE4D1F" w:rsidRDefault="008161BC" w:rsidP="00AE4D1F">
      <w:pPr>
        <w:rPr>
          <w:rFonts w:ascii="Arial" w:hAnsi="Arial" w:cs="Arial"/>
          <w:sz w:val="24"/>
          <w:szCs w:val="24"/>
        </w:rPr>
      </w:pPr>
    </w:p>
    <w:sectPr w:rsidR="008161BC" w:rsidRPr="00AE4D1F" w:rsidSect="005D05DD">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BF63" w14:textId="77777777" w:rsidR="00274A59" w:rsidRDefault="00274A59" w:rsidP="004F2B04">
      <w:pPr>
        <w:spacing w:after="0" w:line="240" w:lineRule="auto"/>
      </w:pPr>
      <w:r>
        <w:separator/>
      </w:r>
    </w:p>
  </w:endnote>
  <w:endnote w:type="continuationSeparator" w:id="0">
    <w:p w14:paraId="5AA83CA2" w14:textId="77777777" w:rsidR="00274A59" w:rsidRDefault="00274A59"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D2C6" w14:textId="77777777" w:rsidR="00274A59" w:rsidRDefault="00274A59" w:rsidP="004F2B04">
      <w:pPr>
        <w:spacing w:after="0" w:line="240" w:lineRule="auto"/>
      </w:pPr>
      <w:r>
        <w:separator/>
      </w:r>
    </w:p>
  </w:footnote>
  <w:footnote w:type="continuationSeparator" w:id="0">
    <w:p w14:paraId="6F86FF42" w14:textId="77777777" w:rsidR="00274A59" w:rsidRDefault="00274A59" w:rsidP="004F2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163C3A"/>
    <w:multiLevelType w:val="hybridMultilevel"/>
    <w:tmpl w:val="B5CA8B7C"/>
    <w:lvl w:ilvl="0" w:tplc="17BC0F14">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 w:numId="8" w16cid:durableId="635791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1E83"/>
    <w:rsid w:val="00022C78"/>
    <w:rsid w:val="00037672"/>
    <w:rsid w:val="00050D26"/>
    <w:rsid w:val="000542BE"/>
    <w:rsid w:val="00073C0B"/>
    <w:rsid w:val="00097FF8"/>
    <w:rsid w:val="000A35E9"/>
    <w:rsid w:val="000B3DC4"/>
    <w:rsid w:val="000D4F13"/>
    <w:rsid w:val="000F2DA5"/>
    <w:rsid w:val="001352E8"/>
    <w:rsid w:val="00161F7B"/>
    <w:rsid w:val="00185749"/>
    <w:rsid w:val="00194649"/>
    <w:rsid w:val="001A21A7"/>
    <w:rsid w:val="001A4B77"/>
    <w:rsid w:val="001E6A5D"/>
    <w:rsid w:val="00226E59"/>
    <w:rsid w:val="0023228F"/>
    <w:rsid w:val="002652B3"/>
    <w:rsid w:val="00273E3C"/>
    <w:rsid w:val="00274A59"/>
    <w:rsid w:val="00280FEE"/>
    <w:rsid w:val="00292FA6"/>
    <w:rsid w:val="002934BA"/>
    <w:rsid w:val="002C159D"/>
    <w:rsid w:val="002D35DA"/>
    <w:rsid w:val="00314B37"/>
    <w:rsid w:val="00360AB2"/>
    <w:rsid w:val="00363452"/>
    <w:rsid w:val="00387E86"/>
    <w:rsid w:val="003B19F1"/>
    <w:rsid w:val="003D219E"/>
    <w:rsid w:val="003D4B1C"/>
    <w:rsid w:val="003E1B24"/>
    <w:rsid w:val="00402A54"/>
    <w:rsid w:val="00407247"/>
    <w:rsid w:val="00413227"/>
    <w:rsid w:val="00427474"/>
    <w:rsid w:val="0043163C"/>
    <w:rsid w:val="0046770D"/>
    <w:rsid w:val="00475090"/>
    <w:rsid w:val="004A77E5"/>
    <w:rsid w:val="004A78FB"/>
    <w:rsid w:val="004E069A"/>
    <w:rsid w:val="004F2B04"/>
    <w:rsid w:val="004F7262"/>
    <w:rsid w:val="00507492"/>
    <w:rsid w:val="00521F56"/>
    <w:rsid w:val="00536D9E"/>
    <w:rsid w:val="00541560"/>
    <w:rsid w:val="00570F9E"/>
    <w:rsid w:val="00582BAB"/>
    <w:rsid w:val="005C11E5"/>
    <w:rsid w:val="005C494A"/>
    <w:rsid w:val="005D05DD"/>
    <w:rsid w:val="005F54C5"/>
    <w:rsid w:val="005F5C37"/>
    <w:rsid w:val="005F7840"/>
    <w:rsid w:val="006339DB"/>
    <w:rsid w:val="00675807"/>
    <w:rsid w:val="00700BC7"/>
    <w:rsid w:val="00707A25"/>
    <w:rsid w:val="00736A16"/>
    <w:rsid w:val="007421BA"/>
    <w:rsid w:val="007A2525"/>
    <w:rsid w:val="007C699F"/>
    <w:rsid w:val="007D40A7"/>
    <w:rsid w:val="007F2CEF"/>
    <w:rsid w:val="007F5FA2"/>
    <w:rsid w:val="008161BC"/>
    <w:rsid w:val="00831AEC"/>
    <w:rsid w:val="0083253D"/>
    <w:rsid w:val="00846CA4"/>
    <w:rsid w:val="008A2225"/>
    <w:rsid w:val="008E385A"/>
    <w:rsid w:val="008F4180"/>
    <w:rsid w:val="00957777"/>
    <w:rsid w:val="009617CA"/>
    <w:rsid w:val="00992558"/>
    <w:rsid w:val="009B59BB"/>
    <w:rsid w:val="009C38ED"/>
    <w:rsid w:val="009C59EB"/>
    <w:rsid w:val="009D4A86"/>
    <w:rsid w:val="00A23604"/>
    <w:rsid w:val="00A70237"/>
    <w:rsid w:val="00AB2876"/>
    <w:rsid w:val="00AB289C"/>
    <w:rsid w:val="00AE4D1F"/>
    <w:rsid w:val="00B072B0"/>
    <w:rsid w:val="00B76D20"/>
    <w:rsid w:val="00B84334"/>
    <w:rsid w:val="00B96CF9"/>
    <w:rsid w:val="00BB6633"/>
    <w:rsid w:val="00BE1897"/>
    <w:rsid w:val="00C164BF"/>
    <w:rsid w:val="00C45836"/>
    <w:rsid w:val="00C7370D"/>
    <w:rsid w:val="00CA3086"/>
    <w:rsid w:val="00CA4959"/>
    <w:rsid w:val="00CB4262"/>
    <w:rsid w:val="00CB4A0D"/>
    <w:rsid w:val="00CC4F1D"/>
    <w:rsid w:val="00CC7DB8"/>
    <w:rsid w:val="00D0140D"/>
    <w:rsid w:val="00D06CCB"/>
    <w:rsid w:val="00D132ED"/>
    <w:rsid w:val="00D40BCF"/>
    <w:rsid w:val="00D51C2B"/>
    <w:rsid w:val="00D73048"/>
    <w:rsid w:val="00D81B8D"/>
    <w:rsid w:val="00DA4225"/>
    <w:rsid w:val="00DA47FC"/>
    <w:rsid w:val="00DD7E79"/>
    <w:rsid w:val="00DF355A"/>
    <w:rsid w:val="00E042CB"/>
    <w:rsid w:val="00E11795"/>
    <w:rsid w:val="00E403C7"/>
    <w:rsid w:val="00E474D9"/>
    <w:rsid w:val="00E9726F"/>
    <w:rsid w:val="00E973EA"/>
    <w:rsid w:val="00EB0EB8"/>
    <w:rsid w:val="00EB73C9"/>
    <w:rsid w:val="00EC6418"/>
    <w:rsid w:val="00F20640"/>
    <w:rsid w:val="00F25850"/>
    <w:rsid w:val="00F3399A"/>
    <w:rsid w:val="00F43D10"/>
    <w:rsid w:val="00F454D0"/>
    <w:rsid w:val="00F8394D"/>
    <w:rsid w:val="00FB1815"/>
    <w:rsid w:val="00FC3FE0"/>
    <w:rsid w:val="00FF0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 w:type="paragraph" w:styleId="EndnoteText">
    <w:name w:val="endnote text"/>
    <w:basedOn w:val="Normal"/>
    <w:link w:val="EndnoteTextChar"/>
    <w:uiPriority w:val="99"/>
    <w:semiHidden/>
    <w:unhideWhenUsed/>
    <w:rsid w:val="00EB73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73C9"/>
    <w:rPr>
      <w:sz w:val="20"/>
      <w:szCs w:val="20"/>
    </w:rPr>
  </w:style>
  <w:style w:type="character" w:styleId="EndnoteReference">
    <w:name w:val="endnote reference"/>
    <w:basedOn w:val="DefaultParagraphFont"/>
    <w:uiPriority w:val="99"/>
    <w:semiHidden/>
    <w:unhideWhenUsed/>
    <w:rsid w:val="00EB73C9"/>
    <w:rPr>
      <w:vertAlign w:val="superscript"/>
    </w:rPr>
  </w:style>
  <w:style w:type="paragraph" w:styleId="FootnoteText">
    <w:name w:val="footnote text"/>
    <w:basedOn w:val="Normal"/>
    <w:link w:val="FootnoteTextChar"/>
    <w:uiPriority w:val="99"/>
    <w:semiHidden/>
    <w:unhideWhenUsed/>
    <w:rsid w:val="009D4A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A86"/>
    <w:rPr>
      <w:sz w:val="20"/>
      <w:szCs w:val="20"/>
    </w:rPr>
  </w:style>
  <w:style w:type="character" w:styleId="FootnoteReference">
    <w:name w:val="footnote reference"/>
    <w:basedOn w:val="DefaultParagraphFont"/>
    <w:uiPriority w:val="99"/>
    <w:semiHidden/>
    <w:unhideWhenUsed/>
    <w:rsid w:val="009D4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26634ba-b3e7-477b-a3c5-34b9672cc021">
      <UserInfo>
        <DisplayName>kprice@acon.org.au</DisplayName>
        <AccountId>1663</AccountId>
        <AccountType/>
      </UserInfo>
      <UserInfo>
        <DisplayName>Samantha Williamson</DisplayName>
        <AccountId>25</AccountId>
        <AccountType/>
      </UserInfo>
    </SharedWithUsers>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AEA38-88FC-444F-A1BA-2C935B262F57}">
  <ds:schemaRefs>
    <ds:schemaRef ds:uri="http://schemas.openxmlformats.org/officeDocument/2006/bibliography"/>
  </ds:schemaRefs>
</ds:datastoreItem>
</file>

<file path=customXml/itemProps2.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customXml/itemProps3.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4.xml><?xml version="1.0" encoding="utf-8"?>
<ds:datastoreItem xmlns:ds="http://schemas.openxmlformats.org/officeDocument/2006/customXml" ds:itemID="{8E499352-4244-44B7-BA66-FAFB8F1D6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Jessica Hill</cp:lastModifiedBy>
  <cp:revision>5</cp:revision>
  <dcterms:created xsi:type="dcterms:W3CDTF">2026-04-24T00:29:00Z</dcterms:created>
  <dcterms:modified xsi:type="dcterms:W3CDTF">2026-05-01T03:26:00Z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