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26416015625" w:line="240"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10 YEAR RETROSPECTIVE COHORT STUDY ON CHILDREN DIAGNOSED WITH HUMAN IMMUNODEFICIENCY VIRUS (HIV) AT COLONIAL WAR MEMORIAL HOSPITAL (CWMH)</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Authors: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732421875"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sz w:val="24"/>
          <w:szCs w:val="24"/>
          <w:u w:val="single"/>
          <w:rtl w:val="0"/>
        </w:rPr>
        <w:t xml:space="preserve">Natasere S</w:t>
      </w:r>
      <w:r w:rsidDel="00000000" w:rsidR="00000000" w:rsidRPr="00000000">
        <w:rPr>
          <w:sz w:val="24"/>
          <w:szCs w:val="24"/>
          <w:vertAlign w:val="superscript"/>
          <w:rtl w:val="0"/>
        </w:rPr>
        <w:t xml:space="preserve">1</w:t>
      </w:r>
      <w:r w:rsidDel="00000000" w:rsidR="00000000" w:rsidRPr="00000000">
        <w:rPr>
          <w:sz w:val="24"/>
          <w:szCs w:val="24"/>
          <w:rtl w:val="0"/>
        </w:rPr>
        <w:t xml:space="preserve">, Khan A</w:t>
      </w:r>
      <w:r w:rsidDel="00000000" w:rsidR="00000000" w:rsidRPr="00000000">
        <w:rPr>
          <w:sz w:val="24"/>
          <w:szCs w:val="24"/>
          <w:vertAlign w:val="superscript"/>
          <w:rtl w:val="0"/>
        </w:rPr>
        <w:t xml:space="preserve">1</w:t>
      </w:r>
      <w:r w:rsidDel="00000000" w:rsidR="00000000" w:rsidRPr="00000000">
        <w:rPr>
          <w:sz w:val="24"/>
          <w:szCs w:val="24"/>
          <w:rtl w:val="0"/>
        </w:rPr>
        <w:t xml:space="preserve">, Rao D</w:t>
      </w:r>
      <w:r w:rsidDel="00000000" w:rsidR="00000000" w:rsidRPr="00000000">
        <w:rPr>
          <w:sz w:val="24"/>
          <w:szCs w:val="24"/>
          <w:vertAlign w:val="superscript"/>
          <w:rtl w:val="0"/>
        </w:rPr>
        <w:t xml:space="preserve">1</w:t>
      </w:r>
      <w:r w:rsidDel="00000000" w:rsidR="00000000" w:rsidRPr="00000000">
        <w:rPr>
          <w:sz w:val="24"/>
          <w:szCs w:val="24"/>
          <w:rtl w:val="0"/>
        </w:rPr>
        <w:t xml:space="preserve">, Narayan S</w:t>
      </w:r>
      <w:r w:rsidDel="00000000" w:rsidR="00000000" w:rsidRPr="00000000">
        <w:rPr>
          <w:sz w:val="24"/>
          <w:szCs w:val="24"/>
          <w:vertAlign w:val="superscript"/>
          <w:rtl w:val="0"/>
        </w:rPr>
        <w:t xml:space="preserve">1</w:t>
      </w:r>
      <w:r w:rsidDel="00000000" w:rsidR="00000000" w:rsidRPr="00000000">
        <w:rPr>
          <w:sz w:val="24"/>
          <w:szCs w:val="24"/>
          <w:rtl w:val="0"/>
        </w:rPr>
        <w:t xml:space="preserve">, Prakash N</w:t>
      </w:r>
      <w:r w:rsidDel="00000000" w:rsidR="00000000" w:rsidRPr="00000000">
        <w:rPr>
          <w:sz w:val="24"/>
          <w:szCs w:val="24"/>
          <w:vertAlign w:val="superscript"/>
          <w:rtl w:val="0"/>
        </w:rPr>
        <w:t xml:space="preserve">1</w:t>
      </w:r>
      <w:r w:rsidDel="00000000" w:rsidR="00000000" w:rsidRPr="00000000">
        <w:rPr>
          <w:sz w:val="24"/>
          <w:szCs w:val="24"/>
          <w:rtl w:val="0"/>
        </w:rPr>
        <w:t xml:space="preserve">, Kaur P</w:t>
      </w:r>
      <w:r w:rsidDel="00000000" w:rsidR="00000000" w:rsidRPr="00000000">
        <w:rPr>
          <w:sz w:val="24"/>
          <w:szCs w:val="24"/>
          <w:vertAlign w:val="superscript"/>
          <w:rtl w:val="0"/>
        </w:rPr>
        <w:t xml:space="preserve">1</w:t>
      </w:r>
      <w:r w:rsidDel="00000000" w:rsidR="00000000" w:rsidRPr="00000000">
        <w:rPr>
          <w:sz w:val="24"/>
          <w:szCs w:val="24"/>
          <w:rtl w:val="0"/>
        </w:rPr>
        <w:t xml:space="preserve">.</w:t>
        <w:br w:type="textWrapping"/>
        <w:br w:type="textWrapping"/>
      </w:r>
      <w:r w:rsidDel="00000000" w:rsidR="00000000" w:rsidRPr="00000000">
        <w:rPr>
          <w:sz w:val="24"/>
          <w:szCs w:val="24"/>
          <w:vertAlign w:val="superscript"/>
          <w:rtl w:val="0"/>
        </w:rPr>
        <w:t xml:space="preserve">1</w:t>
      </w:r>
      <w:r w:rsidDel="00000000" w:rsidR="00000000" w:rsidRPr="00000000">
        <w:rPr>
          <w:sz w:val="24"/>
          <w:szCs w:val="24"/>
          <w:rtl w:val="0"/>
        </w:rPr>
        <w:t xml:space="preserve">Ministry of Health, Fiji.</w:t>
        <w:br w:type="textWrapping"/>
        <w:br w:type="textWrapping"/>
      </w:r>
      <w:r w:rsidDel="00000000" w:rsidR="00000000" w:rsidRPr="00000000">
        <w:rPr>
          <w:b w:val="1"/>
          <w:bCs w:val="1"/>
          <w:i w:val="0"/>
          <w:iCs w:val="0"/>
          <w:smallCaps w:val="0"/>
          <w:strike w:val="0"/>
          <w:color w:val="000000"/>
          <w:sz w:val="24"/>
          <w:szCs w:val="24"/>
          <w:u w:val="none"/>
          <w:shd w:fill="auto" w:val="clear"/>
          <w:vertAlign w:val="baseline"/>
          <w:rtl w:val="0"/>
        </w:rPr>
        <w:t xml:space="preserve">Background: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732421875"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Fiji is facing an escalating national HIV crisis, driven partly by intravenous drug use and unsafe sexual practices. Local data depicting incidence and outcomes among children are limited. This study aims to evaluate the impact on pediatric patients over a 10-year period at a tertiary hospital.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17.039947509765625"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Methods: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001953125" w:line="240" w:lineRule="auto"/>
        <w:ind w:left="13.2000732421875"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This observational retrospective cohort study evaluated HIV-infected children aged &lt;11 years at CWMH between 2014 and 2024. Data were collected from serology laboratory, line-lists and pharmaceutical records. Demographic, clinical and treatment domains were analyzed to identify factors associated with mortality as the primary outcome. Antiretroviral therapy adherence and tuberculosis-HIV coinfection were evaluated as secondary outcomes.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17.519989013671875"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Results: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732421875"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 total of 69 cases were included, with 24 (35%) deaths. Half of all deaths occurred between 4 months to 1 year of age. A clear upward trend was noted from 2020 onwards. </w:t>
      </w:r>
      <w:r w:rsidDel="00000000" w:rsidR="00000000" w:rsidRPr="00000000">
        <w:rPr>
          <w:sz w:val="24"/>
          <w:szCs w:val="24"/>
          <w:rtl w:val="0"/>
        </w:rPr>
        <w:t xml:space="preserve">Poisson</w:t>
      </w:r>
      <w:r w:rsidDel="00000000" w:rsidR="00000000" w:rsidRPr="00000000">
        <w:rPr>
          <w:sz w:val="24"/>
          <w:szCs w:val="24"/>
          <w:rtl w:val="0"/>
        </w:rPr>
        <w:t xml:space="preserve"> regression model determined the Incidence rate ratio (IRR) of 1.28 (95% CI: 1.17 -- 1.40, p &lt;0.000001). Pediatric HIV notifications increased by 27.9% per year closely aligning with national outbreak trends. A significant proportion of the cohort, 43% had no documentation of ART adherence and 46% were lost to follow-up. Fisher's exact test showed cotrimoxazole prophylaxis was associated with lower occurrence of opportunistic infections (p = 0.037). There was a 30% increase in deaths per year (IRR = 1.30, 95% CI: 1.11–1.51, p = 0.00084). Children adherent to clinic follow-ups had a 90% reduction in death compared to non-adherent children (OR 0.10, 95% CI 0.03 -- 0.40, p = 0.001).</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11.280059814453125"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Conclusion: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732421875" w:right="0" w:firstLine="0"/>
        <w:jc w:val="left"/>
        <w:rPr>
          <w:b w:val="1"/>
          <w:bCs w:val="1"/>
          <w:sz w:val="24"/>
          <w:szCs w:val="24"/>
        </w:rPr>
      </w:pPr>
      <w:r w:rsidDel="00000000" w:rsidR="00000000" w:rsidRPr="00000000">
        <w:rPr>
          <w:sz w:val="24"/>
          <w:szCs w:val="24"/>
          <w:rtl w:val="0"/>
        </w:rPr>
        <w:t xml:space="preserve">These findings highlight the burden of pediatric HIV in a Tertiary hospital in Fiji. Implementation of digital patient data records and decentralization of follow-up are recommended. This study provides essential local data to inform targeted interventions and reduce mortality.</w:t>
        <w:br w:type="textWrapping"/>
        <w:br w:type="textWrapping"/>
      </w:r>
      <w:r w:rsidDel="00000000" w:rsidR="00000000" w:rsidRPr="00000000">
        <w:rPr>
          <w:b w:val="1"/>
          <w:bCs w:val="1"/>
          <w:sz w:val="24"/>
          <w:szCs w:val="24"/>
          <w:rtl w:val="0"/>
        </w:rPr>
        <w:t xml:space="preserve">Disclosure of Interest Statement:</w:t>
      </w:r>
    </w:p>
    <w:p w:rsidR="00000000" w:rsidDel="00000000" w:rsidP="00000000" w:rsidRDefault="00000000" w:rsidRPr="00000000" w14:paraId="0000000B">
      <w:pPr>
        <w:widowControl w:val="0"/>
        <w:spacing w:after="240" w:line="240" w:lineRule="auto"/>
        <w:rPr>
          <w:sz w:val="24"/>
          <w:szCs w:val="24"/>
        </w:rPr>
      </w:pPr>
      <w:r w:rsidDel="00000000" w:rsidR="00000000" w:rsidRPr="00000000">
        <w:rPr>
          <w:sz w:val="24"/>
          <w:szCs w:val="24"/>
          <w:rtl w:val="0"/>
        </w:rPr>
        <w:t xml:space="preserve">The Australasian Society for HIV, Viral Hepatitis &amp; Sexual Health Medicine</w:t>
      </w:r>
      <w:r w:rsidDel="00000000" w:rsidR="00000000" w:rsidRPr="00000000">
        <w:rPr>
          <w:color w:val="ff0000"/>
          <w:sz w:val="24"/>
          <w:szCs w:val="24"/>
          <w:rtl w:val="0"/>
        </w:rPr>
        <w:t xml:space="preserve"> </w:t>
      </w:r>
      <w:r w:rsidDel="00000000" w:rsidR="00000000" w:rsidRPr="00000000">
        <w:rPr>
          <w:sz w:val="24"/>
          <w:szCs w:val="24"/>
          <w:rtl w:val="0"/>
        </w:rPr>
        <w:t xml:space="preserve">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r w:rsidDel="00000000" w:rsidR="00000000" w:rsidRPr="00000000">
        <w:rPr>
          <w:b w:val="1"/>
          <w:bCs w:val="1"/>
          <w:sz w:val="24"/>
          <w:szCs w:val="24"/>
          <w:rtl w:val="0"/>
        </w:rPr>
        <w:t xml:space="preserve">None</w:t>
      </w:r>
      <w:r w:rsidDel="00000000" w:rsidR="00000000" w:rsidRPr="00000000">
        <w:rPr>
          <w:sz w:val="24"/>
          <w:szCs w:val="24"/>
          <w:rtl w:val="0"/>
        </w:rPr>
        <w:t xml:space="preserve">.</w:t>
        <w:br w:type="textWrapping"/>
        <w:br w:type="textWrapping"/>
        <w:t xml:space="preserve">Artificial intelligence tools were used to facilitate the refinement of language and academic phrasing of this abstract. All ideas, methodology, data analysis and interpretation are original work of the authors.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732421875" w:right="0" w:firstLine="0"/>
        <w:jc w:val="left"/>
        <w:rPr>
          <w:sz w:val="24"/>
          <w:szCs w:val="24"/>
        </w:rPr>
      </w:pPr>
      <w:r w:rsidDel="00000000" w:rsidR="00000000" w:rsidRPr="00000000">
        <w:rPr>
          <w:rtl w:val="0"/>
        </w:rPr>
      </w:r>
    </w:p>
    <w:sectPr>
      <w:pgSz w:h="16840" w:w="11900" w:orient="portrait"/>
      <w:pgMar w:bottom="1740.5000305175781" w:top="695.6005859375" w:left="1440.5000305175781" w:right="1378.41918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