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8742" w14:textId="1F7BD512" w:rsidR="008036C5" w:rsidRDefault="008036C5" w:rsidP="008036C5">
      <w:pPr>
        <w:rPr>
          <w:rFonts w:ascii="Arial" w:eastAsia="Arial" w:hAnsi="Arial" w:cs="Arial"/>
          <w:szCs w:val="24"/>
        </w:rPr>
      </w:pPr>
      <w:r w:rsidRPr="486E3032">
        <w:rPr>
          <w:rFonts w:ascii="Arial" w:eastAsia="Arial" w:hAnsi="Arial" w:cs="Arial"/>
          <w:b/>
          <w:bCs/>
          <w:szCs w:val="24"/>
        </w:rPr>
        <w:t>Title:</w:t>
      </w:r>
      <w:r w:rsidR="00AF370E" w:rsidRPr="486E3032">
        <w:rPr>
          <w:rFonts w:ascii="Arial" w:eastAsia="Arial" w:hAnsi="Arial" w:cs="Arial"/>
          <w:szCs w:val="24"/>
        </w:rPr>
        <w:t xml:space="preserve"> </w:t>
      </w:r>
      <w:r w:rsidRPr="486E3032">
        <w:rPr>
          <w:rFonts w:ascii="Arial" w:eastAsia="Arial" w:hAnsi="Arial" w:cs="Arial"/>
          <w:szCs w:val="24"/>
        </w:rPr>
        <w:t>From Rollout to Retention: Lessons from PrEP Implementation under the SKPA-2 Multi-Country HIV Program in Asia</w:t>
      </w:r>
    </w:p>
    <w:p w14:paraId="573F0FF9" w14:textId="03B10C45" w:rsidR="00B21E3B" w:rsidRDefault="00B21E3B" w:rsidP="008036C5">
      <w:pPr>
        <w:rPr>
          <w:rFonts w:ascii="Arial" w:eastAsia="Arial" w:hAnsi="Arial" w:cs="Arial"/>
          <w:szCs w:val="24"/>
        </w:rPr>
      </w:pPr>
      <w:r>
        <w:rPr>
          <w:rFonts w:ascii="Arial" w:eastAsia="Arial" w:hAnsi="Arial" w:cs="Arial"/>
          <w:szCs w:val="24"/>
        </w:rPr>
        <w:t>Philips Loh</w:t>
      </w:r>
      <w:r w:rsidR="00ED2D72" w:rsidRPr="00403FA2">
        <w:rPr>
          <w:rFonts w:ascii="Arial" w:hAnsi="Arial" w:cs="Arial"/>
          <w:i/>
          <w:iCs/>
          <w:szCs w:val="24"/>
          <w:lang w:val="en-US"/>
        </w:rPr>
        <w:t>¹</w:t>
      </w:r>
      <w:r>
        <w:rPr>
          <w:rFonts w:ascii="Arial" w:eastAsia="Arial" w:hAnsi="Arial" w:cs="Arial"/>
          <w:szCs w:val="24"/>
        </w:rPr>
        <w:t xml:space="preserve">, </w:t>
      </w:r>
      <w:r w:rsidR="003242BC" w:rsidRPr="00403FA2">
        <w:rPr>
          <w:rFonts w:ascii="Arial" w:hAnsi="Arial" w:cs="Arial"/>
          <w:bCs/>
          <w:szCs w:val="24"/>
          <w:lang w:val="en-US"/>
        </w:rPr>
        <w:t>Mihitha Basnayake</w:t>
      </w:r>
      <w:r w:rsidR="004F21C2" w:rsidRPr="00403FA2">
        <w:rPr>
          <w:rFonts w:ascii="Arial" w:hAnsi="Arial" w:cs="Arial"/>
          <w:i/>
          <w:iCs/>
          <w:szCs w:val="24"/>
          <w:lang w:val="en-US"/>
        </w:rPr>
        <w:t>²</w:t>
      </w:r>
      <w:r w:rsidR="003242BC">
        <w:rPr>
          <w:rFonts w:ascii="Arial" w:eastAsia="Arial" w:hAnsi="Arial" w:cs="Arial"/>
          <w:szCs w:val="24"/>
          <w:lang w:val="en-US"/>
        </w:rPr>
        <w:t xml:space="preserve">, </w:t>
      </w:r>
      <w:r>
        <w:rPr>
          <w:rFonts w:ascii="Arial" w:eastAsia="Arial" w:hAnsi="Arial" w:cs="Arial"/>
          <w:szCs w:val="24"/>
        </w:rPr>
        <w:t>Namgay Choden</w:t>
      </w:r>
      <w:r w:rsidR="004F21C2" w:rsidRPr="00403FA2">
        <w:rPr>
          <w:rFonts w:ascii="Arial" w:hAnsi="Arial" w:cs="Arial"/>
          <w:i/>
          <w:iCs/>
          <w:szCs w:val="24"/>
          <w:lang w:val="en-US"/>
        </w:rPr>
        <w:t xml:space="preserve"> ³</w:t>
      </w:r>
      <w:r>
        <w:rPr>
          <w:rFonts w:ascii="Arial" w:eastAsia="Arial" w:hAnsi="Arial" w:cs="Arial"/>
          <w:szCs w:val="24"/>
        </w:rPr>
        <w:t>, Setsen</w:t>
      </w:r>
      <w:r w:rsidR="004F21C2">
        <w:rPr>
          <w:rFonts w:ascii="Arial" w:eastAsia="Arial" w:hAnsi="Arial" w:cs="Arial"/>
          <w:szCs w:val="24"/>
        </w:rPr>
        <w:t xml:space="preserve"> </w:t>
      </w:r>
      <w:r w:rsidR="004F21C2" w:rsidRPr="004F21C2">
        <w:rPr>
          <w:rFonts w:ascii="Arial" w:eastAsia="Arial" w:hAnsi="Arial" w:cs="Arial"/>
          <w:szCs w:val="24"/>
        </w:rPr>
        <w:t>Zayasaikhan</w:t>
      </w:r>
      <w:r w:rsidR="00896894" w:rsidRPr="00403FA2">
        <w:rPr>
          <w:rFonts w:ascii="Arial" w:hAnsi="Arial" w:cs="Arial"/>
          <w:i/>
          <w:iCs/>
          <w:szCs w:val="24"/>
          <w:lang w:val="en-US"/>
        </w:rPr>
        <w:t>⁴</w:t>
      </w:r>
      <w:r w:rsidR="004F21C2">
        <w:rPr>
          <w:rFonts w:ascii="Arial" w:eastAsia="Arial" w:hAnsi="Arial" w:cs="Arial"/>
          <w:szCs w:val="24"/>
        </w:rPr>
        <w:t xml:space="preserve">, </w:t>
      </w:r>
      <w:r>
        <w:rPr>
          <w:rFonts w:ascii="Arial" w:eastAsia="Arial" w:hAnsi="Arial" w:cs="Arial"/>
          <w:szCs w:val="24"/>
        </w:rPr>
        <w:t>Matthew Kusen</w:t>
      </w:r>
      <w:r w:rsidR="00ED2D72" w:rsidRPr="00403FA2">
        <w:rPr>
          <w:rFonts w:ascii="Arial" w:hAnsi="Arial" w:cs="Arial"/>
          <w:i/>
          <w:iCs/>
          <w:szCs w:val="24"/>
          <w:lang w:val="en-US"/>
        </w:rPr>
        <w:t>¹</w:t>
      </w:r>
      <w:r>
        <w:rPr>
          <w:rFonts w:ascii="Arial" w:eastAsia="Arial" w:hAnsi="Arial" w:cs="Arial"/>
          <w:szCs w:val="24"/>
        </w:rPr>
        <w:t>, Felicity Young</w:t>
      </w:r>
      <w:r w:rsidR="00ED2D72" w:rsidRPr="00403FA2">
        <w:rPr>
          <w:rFonts w:ascii="Arial" w:hAnsi="Arial" w:cs="Arial"/>
          <w:i/>
          <w:iCs/>
          <w:szCs w:val="24"/>
          <w:lang w:val="en-US"/>
        </w:rPr>
        <w:t>¹</w:t>
      </w:r>
    </w:p>
    <w:p w14:paraId="4BF6215E" w14:textId="77777777" w:rsidR="00BB46AF" w:rsidRPr="003E1B24" w:rsidRDefault="675D1692" w:rsidP="00BB46AF">
      <w:pPr>
        <w:tabs>
          <w:tab w:val="left" w:pos="3240"/>
        </w:tabs>
        <w:spacing w:after="0" w:line="240" w:lineRule="auto"/>
        <w:rPr>
          <w:rFonts w:ascii="Arial" w:hAnsi="Arial" w:cs="Arial"/>
          <w:szCs w:val="24"/>
        </w:rPr>
      </w:pPr>
      <w:r w:rsidRPr="5B865026">
        <w:rPr>
          <w:rFonts w:ascii="Arial" w:eastAsia="Arial" w:hAnsi="Arial" w:cs="Arial"/>
          <w:b/>
          <w:bCs/>
          <w:szCs w:val="24"/>
        </w:rPr>
        <w:t xml:space="preserve">Authors: </w:t>
      </w:r>
      <w:r>
        <w:br/>
      </w:r>
    </w:p>
    <w:p w14:paraId="2098ABD3" w14:textId="0B849C38" w:rsidR="00BB46AF" w:rsidRDefault="00BB46AF" w:rsidP="00BB46AF">
      <w:pPr>
        <w:spacing w:after="0" w:line="240" w:lineRule="auto"/>
        <w:rPr>
          <w:rFonts w:ascii="Arial" w:hAnsi="Arial" w:cs="Arial"/>
          <w:i/>
          <w:iCs/>
          <w:szCs w:val="24"/>
          <w:lang w:val="en-US"/>
        </w:rPr>
      </w:pPr>
      <w:r w:rsidRPr="00403FA2">
        <w:rPr>
          <w:rFonts w:ascii="Arial" w:hAnsi="Arial" w:cs="Arial"/>
          <w:i/>
          <w:iCs/>
          <w:szCs w:val="24"/>
          <w:lang w:val="en-US"/>
        </w:rPr>
        <w:t xml:space="preserve">¹Health Equity Matters, </w:t>
      </w:r>
      <w:r>
        <w:rPr>
          <w:rFonts w:ascii="Arial" w:hAnsi="Arial" w:cs="Arial"/>
          <w:i/>
          <w:iCs/>
          <w:szCs w:val="24"/>
          <w:lang w:val="en-US"/>
        </w:rPr>
        <w:t>Sydney</w:t>
      </w:r>
      <w:r w:rsidRPr="00403FA2">
        <w:rPr>
          <w:rFonts w:ascii="Arial" w:hAnsi="Arial" w:cs="Arial"/>
          <w:i/>
          <w:iCs/>
          <w:szCs w:val="24"/>
          <w:lang w:val="en-US"/>
        </w:rPr>
        <w:t>,</w:t>
      </w:r>
      <w:r>
        <w:rPr>
          <w:rFonts w:ascii="Arial" w:hAnsi="Arial" w:cs="Arial"/>
          <w:i/>
          <w:iCs/>
          <w:szCs w:val="24"/>
          <w:lang w:val="en-US"/>
        </w:rPr>
        <w:t xml:space="preserve"> </w:t>
      </w:r>
      <w:proofErr w:type="gramStart"/>
      <w:r>
        <w:rPr>
          <w:rFonts w:ascii="Arial" w:hAnsi="Arial" w:cs="Arial"/>
          <w:i/>
          <w:iCs/>
          <w:szCs w:val="24"/>
          <w:lang w:val="en-US"/>
        </w:rPr>
        <w:t>Australia</w:t>
      </w:r>
      <w:r w:rsidRPr="00403FA2">
        <w:rPr>
          <w:rFonts w:ascii="Arial" w:hAnsi="Arial" w:cs="Arial"/>
          <w:i/>
          <w:iCs/>
          <w:szCs w:val="24"/>
          <w:lang w:val="en-US"/>
        </w:rPr>
        <w:t xml:space="preserve"> </w:t>
      </w:r>
      <w:r w:rsidRPr="00403FA2">
        <w:rPr>
          <w:rFonts w:ascii="Arial" w:hAnsi="Arial" w:cs="Arial"/>
          <w:i/>
          <w:iCs/>
          <w:szCs w:val="24"/>
          <w:lang w:val="en-US"/>
        </w:rPr>
        <w:t>,</w:t>
      </w:r>
      <w:proofErr w:type="gramEnd"/>
      <w:r w:rsidRPr="00403FA2">
        <w:rPr>
          <w:rFonts w:ascii="Arial" w:hAnsi="Arial" w:cs="Arial"/>
          <w:i/>
          <w:iCs/>
          <w:szCs w:val="24"/>
          <w:lang w:val="en-US"/>
        </w:rPr>
        <w:t xml:space="preserve"> ²Family Planning Association of Sri Lanka, Colombo, Sri Lanka, ³Save the Children Bhutan, Thimphu, Bhutan, </w:t>
      </w:r>
      <w:r w:rsidR="00896894" w:rsidRPr="00403FA2">
        <w:rPr>
          <w:rFonts w:ascii="Arial" w:hAnsi="Arial" w:cs="Arial"/>
          <w:i/>
          <w:iCs/>
          <w:szCs w:val="24"/>
          <w:lang w:val="en-US"/>
        </w:rPr>
        <w:t>⁴</w:t>
      </w:r>
      <w:r w:rsidRPr="00403FA2">
        <w:rPr>
          <w:rFonts w:ascii="Arial" w:hAnsi="Arial" w:cs="Arial"/>
          <w:i/>
          <w:iCs/>
          <w:szCs w:val="24"/>
          <w:lang w:val="en-US"/>
        </w:rPr>
        <w:t>Youth For Health Centre, Ulaanbaatar, Mongolia</w:t>
      </w:r>
    </w:p>
    <w:p w14:paraId="3C6AFBAD" w14:textId="054E1C19" w:rsidR="00BB46AF" w:rsidRPr="003E1B24" w:rsidRDefault="00BB46AF" w:rsidP="00BB46AF">
      <w:pPr>
        <w:spacing w:after="0" w:line="240" w:lineRule="auto"/>
        <w:rPr>
          <w:rFonts w:ascii="Arial" w:hAnsi="Arial" w:cs="Arial"/>
          <w:szCs w:val="24"/>
        </w:rPr>
      </w:pPr>
      <w:r w:rsidRPr="00403FA2">
        <w:rPr>
          <w:rFonts w:ascii="Arial" w:hAnsi="Arial" w:cs="Arial"/>
          <w:i/>
          <w:szCs w:val="24"/>
        </w:rPr>
        <w:t> </w:t>
      </w:r>
    </w:p>
    <w:p w14:paraId="16F0D221" w14:textId="77777777" w:rsidR="00BA78BF" w:rsidRPr="00D921F0" w:rsidRDefault="008036C5" w:rsidP="00BA78BF">
      <w:pPr>
        <w:rPr>
          <w:rFonts w:ascii="Arial" w:eastAsia="Arial" w:hAnsi="Arial" w:cs="Arial"/>
          <w:szCs w:val="24"/>
        </w:rPr>
      </w:pPr>
      <w:r w:rsidRPr="5B865026">
        <w:rPr>
          <w:rFonts w:ascii="Arial" w:eastAsia="Arial" w:hAnsi="Arial" w:cs="Arial"/>
          <w:b/>
          <w:bCs/>
          <w:szCs w:val="24"/>
        </w:rPr>
        <w:t>Background/Purpose:</w:t>
      </w:r>
      <w:r>
        <w:br/>
      </w:r>
      <w:r w:rsidR="00BA78BF" w:rsidRPr="00D921F0">
        <w:rPr>
          <w:rFonts w:ascii="Arial" w:eastAsia="Arial" w:hAnsi="Arial" w:cs="Arial"/>
          <w:szCs w:val="24"/>
        </w:rPr>
        <w:t>Pacific countries, including Fiji, are preparing to introduce pre-exposure prophylaxis (PrEP). Health Equity Matters, as Principal Recipient of the SKPA-2 multi-country HIV Program in Asia, supported PrEP introduction in Bhutan, Sri Lanka, and Mongolia. Across these settings, rollout faced recurring challenges in moving from policy commitment to sustained delivery.</w:t>
      </w:r>
    </w:p>
    <w:p w14:paraId="5CC3B82A" w14:textId="77777777" w:rsidR="00E92C11" w:rsidRPr="00D921F0" w:rsidRDefault="008036C5" w:rsidP="00E92C11">
      <w:pPr>
        <w:rPr>
          <w:rFonts w:ascii="Arial" w:eastAsia="Arial" w:hAnsi="Arial" w:cs="Arial"/>
          <w:szCs w:val="24"/>
        </w:rPr>
      </w:pPr>
      <w:r w:rsidRPr="5B865026">
        <w:rPr>
          <w:rFonts w:ascii="Arial" w:eastAsia="Arial" w:hAnsi="Arial" w:cs="Arial"/>
          <w:b/>
          <w:bCs/>
          <w:szCs w:val="24"/>
        </w:rPr>
        <w:t>Approach:</w:t>
      </w:r>
      <w:r>
        <w:br/>
      </w:r>
      <w:r w:rsidR="00E92C11" w:rsidRPr="00D921F0">
        <w:rPr>
          <w:rFonts w:ascii="Arial" w:eastAsia="Arial" w:hAnsi="Arial" w:cs="Arial"/>
          <w:szCs w:val="24"/>
        </w:rPr>
        <w:t>SKPA-2 provided technical assistance across policy, clinical, and community systems, including coordination with national programs, technical working groups, and PrEP experts. Support also covered guideline and SOP development, provider and outreach training, community-led demand generation, and engagement on regulatory and financing barriers.</w:t>
      </w:r>
    </w:p>
    <w:p w14:paraId="612C02B5" w14:textId="5B7CFBBF" w:rsidR="002F2673" w:rsidRPr="002865F5" w:rsidRDefault="008036C5" w:rsidP="002F2673">
      <w:pPr>
        <w:rPr>
          <w:rFonts w:ascii="Arial" w:eastAsia="Arial" w:hAnsi="Arial" w:cs="Arial"/>
          <w:b/>
          <w:bCs/>
          <w:szCs w:val="24"/>
        </w:rPr>
      </w:pPr>
      <w:r w:rsidRPr="5B865026">
        <w:rPr>
          <w:rFonts w:ascii="Arial" w:eastAsia="Arial" w:hAnsi="Arial" w:cs="Arial"/>
          <w:b/>
          <w:bCs/>
          <w:szCs w:val="24"/>
        </w:rPr>
        <w:t>Outcomes/Impact:</w:t>
      </w:r>
    </w:p>
    <w:p w14:paraId="2781A53D" w14:textId="77777777" w:rsidR="00C94CE5" w:rsidRPr="00D921F0" w:rsidRDefault="00C94CE5" w:rsidP="00C94CE5">
      <w:pPr>
        <w:rPr>
          <w:rFonts w:ascii="Arial" w:eastAsia="Arial" w:hAnsi="Arial" w:cs="Arial"/>
          <w:szCs w:val="24"/>
        </w:rPr>
      </w:pPr>
      <w:r w:rsidRPr="00D921F0">
        <w:rPr>
          <w:rFonts w:ascii="Arial" w:eastAsia="Arial" w:hAnsi="Arial" w:cs="Arial"/>
          <w:szCs w:val="24"/>
        </w:rPr>
        <w:t>In Sri Lanka and Bhutan, PrEP services were launched through pilot or phased implementation models working toward scale-up. Community-led outreach contributed to initial enrolment gains, but clinic-based delivery models, high reporting requirements, client mobility, repeat testing requirements, and follow-up burden constrained sustained access. In Bhutan, around one-third of clients subsequently dropped out. This suggests that community-led demand generation is essential, but not sufficient, without delivery models that reduce barriers to continuation.</w:t>
      </w:r>
    </w:p>
    <w:p w14:paraId="33ACCDBB" w14:textId="77777777" w:rsidR="00C94CE5" w:rsidRPr="00D921F0" w:rsidRDefault="00C94CE5" w:rsidP="00C94CE5">
      <w:pPr>
        <w:rPr>
          <w:rFonts w:ascii="Arial" w:eastAsia="Arial" w:hAnsi="Arial" w:cs="Arial"/>
          <w:szCs w:val="24"/>
        </w:rPr>
      </w:pPr>
      <w:r w:rsidRPr="00D921F0">
        <w:rPr>
          <w:rFonts w:ascii="Arial" w:eastAsia="Arial" w:hAnsi="Arial" w:cs="Arial"/>
          <w:szCs w:val="24"/>
        </w:rPr>
        <w:t>In Mongolia, PrEP was introduced through a demonstration project operating under a research exemption. This exposed a critical regulatory gap: PrEP was registered only as a treatment medicine, not for prevention. When the demonstration project ended, PrEP services halted for several years until product registration was resolved. This represents a preventable policy and regulatory failure with direct relevance for Pacific countries planning PrEP launches.</w:t>
      </w:r>
    </w:p>
    <w:p w14:paraId="4D1FD07C" w14:textId="77777777" w:rsidR="00480F93" w:rsidRPr="00D921F0" w:rsidRDefault="008036C5" w:rsidP="00480F93">
      <w:pPr>
        <w:rPr>
          <w:rFonts w:ascii="Arial" w:eastAsia="Arial" w:hAnsi="Arial" w:cs="Arial"/>
          <w:szCs w:val="24"/>
        </w:rPr>
      </w:pPr>
      <w:r w:rsidRPr="486E3032">
        <w:rPr>
          <w:rFonts w:ascii="Arial" w:eastAsia="Arial" w:hAnsi="Arial" w:cs="Arial"/>
          <w:b/>
          <w:bCs/>
          <w:szCs w:val="24"/>
        </w:rPr>
        <w:lastRenderedPageBreak/>
        <w:t>Innovation and Significance:</w:t>
      </w:r>
      <w:r w:rsidR="0028059E">
        <w:br/>
      </w:r>
      <w:r w:rsidR="00480F93" w:rsidRPr="00D921F0">
        <w:rPr>
          <w:rFonts w:ascii="Arial" w:eastAsia="Arial" w:hAnsi="Arial" w:cs="Arial"/>
          <w:szCs w:val="24"/>
        </w:rPr>
        <w:t>For Pacific program planners, these lessons show that community systems are central to generating demand and supporting uptake, but coverage is sustained only when community engagement is matched with accessible service delivery, reliable supply, enabling regulation, and financing pathways. Early gains can be achieved through community-led demand generation, but reaching and maintaining PrEP coverage over time requires differentiated service delivery models that respond to client mobility, follow-up realities, and the needs of communities themselves.</w:t>
      </w:r>
    </w:p>
    <w:p w14:paraId="23BDA6D0" w14:textId="588E0BFF" w:rsidR="00C84105" w:rsidRDefault="00C84105" w:rsidP="00480F93">
      <w:pPr>
        <w:rPr>
          <w:rFonts w:ascii="Arial" w:eastAsia="Times New Roman" w:hAnsi="Arial" w:cs="Arial"/>
          <w:b/>
          <w:bCs/>
          <w:szCs w:val="24"/>
        </w:rPr>
      </w:pPr>
      <w:r w:rsidRPr="003E1B24">
        <w:rPr>
          <w:rFonts w:ascii="Arial" w:eastAsia="Times New Roman" w:hAnsi="Arial" w:cs="Arial"/>
          <w:b/>
          <w:bCs/>
          <w:szCs w:val="24"/>
        </w:rPr>
        <w:t>Disclosure of Interest Statement:</w:t>
      </w:r>
    </w:p>
    <w:p w14:paraId="0F64A940" w14:textId="3401F79A" w:rsidR="00C84105" w:rsidRPr="00247465" w:rsidRDefault="00C84105" w:rsidP="00247465">
      <w:pPr>
        <w:spacing w:after="0" w:line="240" w:lineRule="auto"/>
        <w:rPr>
          <w:rFonts w:ascii="Arial" w:hAnsi="Arial" w:cs="Arial"/>
          <w:szCs w:val="24"/>
          <w:lang w:val="en-US"/>
        </w:rPr>
      </w:pPr>
      <w:r w:rsidRPr="00D83DC8">
        <w:rPr>
          <w:rFonts w:ascii="Arial" w:hAnsi="Arial" w:cs="Arial"/>
          <w:szCs w:val="24"/>
          <w:lang w:val="en-US"/>
        </w:rPr>
        <w:t xml:space="preserve">This </w:t>
      </w:r>
      <w:r>
        <w:rPr>
          <w:rFonts w:ascii="Arial" w:hAnsi="Arial" w:cs="Arial"/>
          <w:szCs w:val="24"/>
          <w:lang w:val="en-US"/>
        </w:rPr>
        <w:t>work</w:t>
      </w:r>
      <w:r w:rsidRPr="00D83DC8">
        <w:rPr>
          <w:rFonts w:ascii="Arial" w:hAnsi="Arial" w:cs="Arial"/>
          <w:szCs w:val="24"/>
          <w:lang w:val="en-US"/>
        </w:rPr>
        <w:t xml:space="preserve"> was funded by the Global Fund to Fight AIDS, Tuberculosis and Malaria through the Sustainability of Key Population HIV Services in Southeast Asia 2 (SKPA-2) Program.</w:t>
      </w:r>
    </w:p>
    <w:p w14:paraId="558F62E7" w14:textId="77777777" w:rsidR="00247465" w:rsidRDefault="00247465" w:rsidP="00247465">
      <w:pPr>
        <w:spacing w:after="0" w:line="240" w:lineRule="auto"/>
        <w:rPr>
          <w:rFonts w:ascii="Arial" w:hAnsi="Arial" w:cs="Arial"/>
          <w:szCs w:val="24"/>
          <w:lang w:val="en-US"/>
        </w:rPr>
      </w:pPr>
    </w:p>
    <w:p w14:paraId="78D22E14" w14:textId="77777777" w:rsidR="00247465" w:rsidRPr="003E1B24" w:rsidRDefault="00247465" w:rsidP="00247465">
      <w:pPr>
        <w:spacing w:after="0" w:line="240" w:lineRule="auto"/>
        <w:rPr>
          <w:rFonts w:ascii="Arial" w:hAnsi="Arial" w:cs="Arial"/>
          <w:szCs w:val="24"/>
        </w:rPr>
      </w:pPr>
      <w:r w:rsidRPr="004E461E">
        <w:rPr>
          <w:rFonts w:ascii="Arial" w:hAnsi="Arial" w:cs="Arial"/>
          <w:b/>
          <w:bCs/>
          <w:szCs w:val="24"/>
          <w:lang w:val="en-US"/>
        </w:rPr>
        <w:t>AI Declaration:</w:t>
      </w:r>
      <w:r w:rsidRPr="004E461E">
        <w:rPr>
          <w:rFonts w:ascii="Arial" w:hAnsi="Arial" w:cs="Arial"/>
          <w:szCs w:val="24"/>
          <w:lang w:val="en-US"/>
        </w:rPr>
        <w:t> AI was used for language editing and refinement of abstracts written by the author. All </w:t>
      </w:r>
      <w:proofErr w:type="gramStart"/>
      <w:r w:rsidRPr="004E461E">
        <w:rPr>
          <w:rFonts w:ascii="Arial" w:hAnsi="Arial" w:cs="Arial"/>
          <w:szCs w:val="24"/>
          <w:lang w:val="en-US"/>
        </w:rPr>
        <w:t>content,</w:t>
      </w:r>
      <w:proofErr w:type="gramEnd"/>
      <w:r w:rsidRPr="004E461E">
        <w:rPr>
          <w:rFonts w:ascii="Arial" w:hAnsi="Arial" w:cs="Arial"/>
          <w:szCs w:val="24"/>
          <w:lang w:val="en-US"/>
        </w:rPr>
        <w:t> data, findings, and intellectual framing are the original work of the authors.</w:t>
      </w:r>
      <w:r w:rsidRPr="004E461E">
        <w:rPr>
          <w:rFonts w:ascii="Arial" w:hAnsi="Arial" w:cs="Arial"/>
          <w:szCs w:val="24"/>
        </w:rPr>
        <w:t> </w:t>
      </w:r>
    </w:p>
    <w:p w14:paraId="3B1952EF" w14:textId="77777777" w:rsidR="00247465" w:rsidRPr="00247465" w:rsidRDefault="00247465" w:rsidP="008036C5">
      <w:pPr>
        <w:rPr>
          <w:rFonts w:ascii="Arial" w:eastAsia="Arial" w:hAnsi="Arial" w:cs="Arial"/>
          <w:szCs w:val="24"/>
        </w:rPr>
      </w:pPr>
    </w:p>
    <w:sectPr w:rsidR="00247465" w:rsidRPr="0024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2CE5"/>
    <w:multiLevelType w:val="hybridMultilevel"/>
    <w:tmpl w:val="99025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321437"/>
    <w:multiLevelType w:val="multilevel"/>
    <w:tmpl w:val="522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855023">
    <w:abstractNumId w:val="0"/>
  </w:num>
  <w:num w:numId="2" w16cid:durableId="95413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C5"/>
    <w:rsid w:val="000E6B0F"/>
    <w:rsid w:val="00200619"/>
    <w:rsid w:val="00247465"/>
    <w:rsid w:val="0028059E"/>
    <w:rsid w:val="002865F5"/>
    <w:rsid w:val="002F2673"/>
    <w:rsid w:val="003242BC"/>
    <w:rsid w:val="003F58D3"/>
    <w:rsid w:val="00480F93"/>
    <w:rsid w:val="004E1DED"/>
    <w:rsid w:val="004F21C2"/>
    <w:rsid w:val="008036C5"/>
    <w:rsid w:val="00854080"/>
    <w:rsid w:val="00856B0A"/>
    <w:rsid w:val="00896894"/>
    <w:rsid w:val="009432BD"/>
    <w:rsid w:val="009B10D1"/>
    <w:rsid w:val="009F7FE2"/>
    <w:rsid w:val="00A209EF"/>
    <w:rsid w:val="00AF370E"/>
    <w:rsid w:val="00B21E3B"/>
    <w:rsid w:val="00B56DBF"/>
    <w:rsid w:val="00BA78BF"/>
    <w:rsid w:val="00BB46AF"/>
    <w:rsid w:val="00BD3F45"/>
    <w:rsid w:val="00BF0D63"/>
    <w:rsid w:val="00C21B70"/>
    <w:rsid w:val="00C62D1A"/>
    <w:rsid w:val="00C7026B"/>
    <w:rsid w:val="00C84105"/>
    <w:rsid w:val="00C94CE5"/>
    <w:rsid w:val="00E621A7"/>
    <w:rsid w:val="00E70E6C"/>
    <w:rsid w:val="00E92C11"/>
    <w:rsid w:val="00ED2D72"/>
    <w:rsid w:val="00FB744F"/>
    <w:rsid w:val="03EDE430"/>
    <w:rsid w:val="045F0B3B"/>
    <w:rsid w:val="057D4C30"/>
    <w:rsid w:val="0864011B"/>
    <w:rsid w:val="08B50358"/>
    <w:rsid w:val="0EA840A6"/>
    <w:rsid w:val="17F91BC5"/>
    <w:rsid w:val="2113FAF6"/>
    <w:rsid w:val="223FAD23"/>
    <w:rsid w:val="224AE18A"/>
    <w:rsid w:val="2355914B"/>
    <w:rsid w:val="30DCE54D"/>
    <w:rsid w:val="32113D0F"/>
    <w:rsid w:val="361C860B"/>
    <w:rsid w:val="37F2AC88"/>
    <w:rsid w:val="415AE798"/>
    <w:rsid w:val="42B81999"/>
    <w:rsid w:val="4523097F"/>
    <w:rsid w:val="486E3032"/>
    <w:rsid w:val="4C90AD0A"/>
    <w:rsid w:val="500F2D37"/>
    <w:rsid w:val="54F81610"/>
    <w:rsid w:val="5AC7B9FC"/>
    <w:rsid w:val="5B865026"/>
    <w:rsid w:val="5DF0B91F"/>
    <w:rsid w:val="606A5E94"/>
    <w:rsid w:val="616C9CB2"/>
    <w:rsid w:val="671AAF20"/>
    <w:rsid w:val="675D1692"/>
    <w:rsid w:val="687571A1"/>
    <w:rsid w:val="6B57D473"/>
    <w:rsid w:val="6EDC8013"/>
    <w:rsid w:val="7372ED2A"/>
    <w:rsid w:val="73BAFF5F"/>
    <w:rsid w:val="7CD89A28"/>
    <w:rsid w:val="7E9B571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8D66"/>
  <w15:chartTrackingRefBased/>
  <w15:docId w15:val="{C5699B80-101B-4B03-835A-C87D9201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6C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036C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036C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03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6C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036C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036C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03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6C5"/>
    <w:rPr>
      <w:rFonts w:eastAsiaTheme="majorEastAsia" w:cstheme="majorBidi"/>
      <w:color w:val="272727" w:themeColor="text1" w:themeTint="D8"/>
    </w:rPr>
  </w:style>
  <w:style w:type="paragraph" w:styleId="Title">
    <w:name w:val="Title"/>
    <w:basedOn w:val="Normal"/>
    <w:next w:val="Normal"/>
    <w:link w:val="TitleChar"/>
    <w:uiPriority w:val="10"/>
    <w:qFormat/>
    <w:rsid w:val="008036C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036C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036C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036C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036C5"/>
    <w:pPr>
      <w:spacing w:before="160"/>
      <w:jc w:val="center"/>
    </w:pPr>
    <w:rPr>
      <w:i/>
      <w:iCs/>
      <w:color w:val="404040" w:themeColor="text1" w:themeTint="BF"/>
    </w:rPr>
  </w:style>
  <w:style w:type="character" w:customStyle="1" w:styleId="QuoteChar">
    <w:name w:val="Quote Char"/>
    <w:basedOn w:val="DefaultParagraphFont"/>
    <w:link w:val="Quote"/>
    <w:uiPriority w:val="29"/>
    <w:rsid w:val="008036C5"/>
    <w:rPr>
      <w:i/>
      <w:iCs/>
      <w:color w:val="404040" w:themeColor="text1" w:themeTint="BF"/>
    </w:rPr>
  </w:style>
  <w:style w:type="paragraph" w:styleId="ListParagraph">
    <w:name w:val="List Paragraph"/>
    <w:basedOn w:val="Normal"/>
    <w:uiPriority w:val="34"/>
    <w:qFormat/>
    <w:rsid w:val="008036C5"/>
    <w:pPr>
      <w:ind w:left="720"/>
      <w:contextualSpacing/>
    </w:pPr>
  </w:style>
  <w:style w:type="character" w:styleId="IntenseEmphasis">
    <w:name w:val="Intense Emphasis"/>
    <w:basedOn w:val="DefaultParagraphFont"/>
    <w:uiPriority w:val="21"/>
    <w:qFormat/>
    <w:rsid w:val="008036C5"/>
    <w:rPr>
      <w:i/>
      <w:iCs/>
      <w:color w:val="0F4761" w:themeColor="accent1" w:themeShade="BF"/>
    </w:rPr>
  </w:style>
  <w:style w:type="paragraph" w:styleId="IntenseQuote">
    <w:name w:val="Intense Quote"/>
    <w:basedOn w:val="Normal"/>
    <w:next w:val="Normal"/>
    <w:link w:val="IntenseQuoteChar"/>
    <w:uiPriority w:val="30"/>
    <w:qFormat/>
    <w:rsid w:val="00803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6C5"/>
    <w:rPr>
      <w:i/>
      <w:iCs/>
      <w:color w:val="0F4761" w:themeColor="accent1" w:themeShade="BF"/>
    </w:rPr>
  </w:style>
  <w:style w:type="character" w:styleId="IntenseReference">
    <w:name w:val="Intense Reference"/>
    <w:basedOn w:val="DefaultParagraphFont"/>
    <w:uiPriority w:val="32"/>
    <w:qFormat/>
    <w:rsid w:val="008036C5"/>
    <w:rPr>
      <w:b/>
      <w:bCs/>
      <w:smallCaps/>
      <w:color w:val="0F4761" w:themeColor="accent1" w:themeShade="BF"/>
      <w:spacing w:val="5"/>
    </w:rPr>
  </w:style>
  <w:style w:type="paragraph" w:styleId="NormalWeb">
    <w:name w:val="Normal (Web)"/>
    <w:basedOn w:val="Normal"/>
    <w:uiPriority w:val="99"/>
    <w:semiHidden/>
    <w:unhideWhenUsed/>
    <w:rsid w:val="008036C5"/>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2488a3-8a4d-429a-92fe-6bba90707739">
      <Terms xmlns="http://schemas.microsoft.com/office/infopath/2007/PartnerControls"/>
    </lcf76f155ced4ddcb4097134ff3c332f>
    <TaxCatchAll xmlns="82c797da-b8b5-4eb3-ac2d-83a3ca112d3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0B2F9850FB1147BB85195356182A49" ma:contentTypeVersion="18" ma:contentTypeDescription="Create a new document." ma:contentTypeScope="" ma:versionID="651e5eb96b41b7067b64067273545d9f">
  <xsd:schema xmlns:xsd="http://www.w3.org/2001/XMLSchema" xmlns:xs="http://www.w3.org/2001/XMLSchema" xmlns:p="http://schemas.microsoft.com/office/2006/metadata/properties" xmlns:ns2="632488a3-8a4d-429a-92fe-6bba90707739" xmlns:ns3="82c797da-b8b5-4eb3-ac2d-83a3ca112d31" targetNamespace="http://schemas.microsoft.com/office/2006/metadata/properties" ma:root="true" ma:fieldsID="7dade3c485bb86d637099aa72b4b2d36" ns2:_="" ns3:_="">
    <xsd:import namespace="632488a3-8a4d-429a-92fe-6bba90707739"/>
    <xsd:import namespace="82c797da-b8b5-4eb3-ac2d-83a3ca112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88a3-8a4d-429a-92fe-6bba90707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8e2948-51ba-4011-be66-1cf2f3195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797da-b8b5-4eb3-ac2d-83a3ca112d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0889ca-077d-4c8a-94a9-83480b3c4096}" ma:internalName="TaxCatchAll" ma:showField="CatchAllData" ma:web="82c797da-b8b5-4eb3-ac2d-83a3ca11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920F0-0A9E-42DF-A2BA-9B2EF513E804}">
  <ds:schemaRefs>
    <ds:schemaRef ds:uri="http://schemas.microsoft.com/office/2006/metadata/properties"/>
    <ds:schemaRef ds:uri="http://schemas.microsoft.com/office/infopath/2007/PartnerControls"/>
    <ds:schemaRef ds:uri="632488a3-8a4d-429a-92fe-6bba90707739"/>
    <ds:schemaRef ds:uri="82c797da-b8b5-4eb3-ac2d-83a3ca112d31"/>
  </ds:schemaRefs>
</ds:datastoreItem>
</file>

<file path=customXml/itemProps2.xml><?xml version="1.0" encoding="utf-8"?>
<ds:datastoreItem xmlns:ds="http://schemas.openxmlformats.org/officeDocument/2006/customXml" ds:itemID="{4599F65A-FEDD-460F-A72C-7D26381F9990}">
  <ds:schemaRefs>
    <ds:schemaRef ds:uri="http://schemas.openxmlformats.org/officeDocument/2006/bibliography"/>
  </ds:schemaRefs>
</ds:datastoreItem>
</file>

<file path=customXml/itemProps3.xml><?xml version="1.0" encoding="utf-8"?>
<ds:datastoreItem xmlns:ds="http://schemas.openxmlformats.org/officeDocument/2006/customXml" ds:itemID="{0A183B2F-94EC-414F-8418-AFF525EE715C}">
  <ds:schemaRefs>
    <ds:schemaRef ds:uri="http://schemas.microsoft.com/sharepoint/v3/contenttype/forms"/>
  </ds:schemaRefs>
</ds:datastoreItem>
</file>

<file path=customXml/itemProps4.xml><?xml version="1.0" encoding="utf-8"?>
<ds:datastoreItem xmlns:ds="http://schemas.openxmlformats.org/officeDocument/2006/customXml" ds:itemID="{503F3E18-1CFD-4C41-BEB9-9B8892F7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88a3-8a4d-429a-92fe-6bba90707739"/>
    <ds:schemaRef ds:uri="82c797da-b8b5-4eb3-ac2d-83a3ca11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 Loh</dc:creator>
  <cp:keywords/>
  <dc:description/>
  <cp:lastModifiedBy>Philips Loh</cp:lastModifiedBy>
  <cp:revision>2</cp:revision>
  <dcterms:created xsi:type="dcterms:W3CDTF">2026-05-01T00:05:00Z</dcterms:created>
  <dcterms:modified xsi:type="dcterms:W3CDTF">2026-05-01T00:05:00Z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0x010100EC0B2F9850FB1147BB85195356182A49</vt:lpwstr>
  </property>
  <property fmtid="{D5CDD505-2E9C-101B-9397-08002B2CF9AE}" pid="3" name="MediaServiceImageTags">
    <vt:lpwstr/>
  </property>
</Properties>
</file>