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7D7D" w14:textId="1A8BDEA5" w:rsidR="00DB2E1D" w:rsidRPr="00DB2E1D" w:rsidRDefault="00DB2E1D" w:rsidP="00DB2E1D">
      <w:pPr>
        <w:rPr>
          <w:rFonts w:ascii="Arial" w:eastAsia="Times New Roman" w:hAnsi="Arial" w:cs="Arial"/>
          <w:b/>
          <w:bCs/>
          <w:color w:val="E97132" w:themeColor="accent2"/>
          <w:kern w:val="0"/>
          <w:sz w:val="36"/>
          <w:szCs w:val="36"/>
          <w:lang w:eastAsia="en-AU"/>
          <w14:ligatures w14:val="none"/>
        </w:rPr>
      </w:pPr>
      <w:r w:rsidRPr="00DB2E1D">
        <w:rPr>
          <w:rFonts w:ascii="Arial" w:eastAsia="Times New Roman" w:hAnsi="Arial" w:cs="Arial"/>
          <w:b/>
          <w:bCs/>
          <w:noProof/>
          <w:color w:val="E97132" w:themeColor="accent2"/>
          <w:kern w:val="0"/>
          <w:sz w:val="36"/>
          <w:szCs w:val="36"/>
          <w:lang w:eastAsia="en-AU"/>
          <w14:ligatures w14:val="none"/>
        </w:rPr>
        <w:drawing>
          <wp:anchor distT="0" distB="0" distL="114300" distR="114300" simplePos="0" relativeHeight="251658240" behindDoc="0" locked="0" layoutInCell="1" allowOverlap="1" wp14:anchorId="3953B8A6" wp14:editId="5A6EB9F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76350" cy="715010"/>
            <wp:effectExtent l="0" t="0" r="0" b="8890"/>
            <wp:wrapSquare wrapText="bothSides"/>
            <wp:docPr id="360364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086" cy="71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2E1D">
        <w:rPr>
          <w:rFonts w:ascii="Arial" w:eastAsia="Times New Roman" w:hAnsi="Arial" w:cs="Arial"/>
          <w:b/>
          <w:bCs/>
          <w:color w:val="E97132" w:themeColor="accent2"/>
          <w:kern w:val="0"/>
          <w:sz w:val="36"/>
          <w:szCs w:val="36"/>
          <w:lang w:eastAsia="en-AU"/>
          <w14:ligatures w14:val="none"/>
        </w:rPr>
        <w:t>ARCS 2025 Annual Conference: Return on Investment Worksheet</w:t>
      </w:r>
    </w:p>
    <w:p w14:paraId="0DB7E766" w14:textId="77777777" w:rsidR="00DB2E1D" w:rsidRPr="00DB2E1D" w:rsidRDefault="00DB2E1D" w:rsidP="00DB2E1D">
      <w:pPr>
        <w:jc w:val="right"/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</w:pPr>
      <w:r w:rsidRPr="00DB2E1D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Beyond Boundaries: Advancing Professionalism</w:t>
      </w:r>
    </w:p>
    <w:p w14:paraId="6334F65D" w14:textId="77777777" w:rsidR="00DB2E1D" w:rsidRPr="00DB2E1D" w:rsidRDefault="00DB2E1D" w:rsidP="00DB2E1D">
      <w:pPr>
        <w:jc w:val="right"/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</w:pPr>
      <w:r w:rsidRPr="00DB2E1D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Location: ICC Sydney | Date: 3–5 June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0"/>
        <w:gridCol w:w="2243"/>
        <w:gridCol w:w="2248"/>
        <w:gridCol w:w="2245"/>
      </w:tblGrid>
      <w:tr w:rsidR="00DB2E1D" w14:paraId="1D90F149" w14:textId="77777777" w:rsidTr="00DB2E1D"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8"/>
            </w:tblGrid>
            <w:tr w:rsidR="00DB2E1D" w:rsidRPr="00DB2E1D" w14:paraId="536C356A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BA8AD1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DB2E1D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Topics of Interest to Our Organisation</w:t>
                  </w:r>
                </w:p>
              </w:tc>
            </w:tr>
          </w:tbl>
          <w:p w14:paraId="7949F3E7" w14:textId="77777777" w:rsidR="00DB2E1D" w:rsidRPr="00DB2E1D" w:rsidRDefault="00DB2E1D" w:rsidP="00DB2E1D">
            <w:pPr>
              <w:rPr>
                <w:rFonts w:ascii="Arial" w:hAnsi="Arial" w:cs="Arial"/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2CB60E88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1EE14D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49C5533C" w14:textId="77777777" w:rsidR="00DB2E1D" w:rsidRPr="00DB2E1D" w:rsidRDefault="00DB2E1D" w:rsidP="00DB2E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7"/>
            </w:tblGrid>
            <w:tr w:rsidR="00DB2E1D" w:rsidRPr="00DB2E1D" w14:paraId="41743238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E58035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DB2E1D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Related Session or Stream</w:t>
                  </w:r>
                </w:p>
              </w:tc>
            </w:tr>
          </w:tbl>
          <w:p w14:paraId="21B75454" w14:textId="77777777" w:rsidR="00DB2E1D" w:rsidRPr="00DB2E1D" w:rsidRDefault="00DB2E1D" w:rsidP="00DB2E1D">
            <w:pPr>
              <w:rPr>
                <w:rFonts w:ascii="Arial" w:hAnsi="Arial" w:cs="Arial"/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35ED6FC0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2AE705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32170C20" w14:textId="77777777" w:rsidR="00DB2E1D" w:rsidRPr="00DB2E1D" w:rsidRDefault="00DB2E1D" w:rsidP="00DB2E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9"/>
            </w:tblGrid>
            <w:tr w:rsidR="00DB2E1D" w:rsidRPr="00DB2E1D" w14:paraId="7C5050A6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58BCD1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DB2E1D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Core Competency Area</w:t>
                  </w:r>
                </w:p>
              </w:tc>
            </w:tr>
          </w:tbl>
          <w:p w14:paraId="3032EF62" w14:textId="77777777" w:rsidR="00DB2E1D" w:rsidRPr="00DB2E1D" w:rsidRDefault="00DB2E1D" w:rsidP="00DB2E1D">
            <w:pPr>
              <w:rPr>
                <w:rFonts w:ascii="Arial" w:hAnsi="Arial" w:cs="Arial"/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4E412895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165ED7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3938ED9C" w14:textId="77777777" w:rsidR="00DB2E1D" w:rsidRPr="00DB2E1D" w:rsidRDefault="00DB2E1D" w:rsidP="00DB2E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9"/>
            </w:tblGrid>
            <w:tr w:rsidR="00DB2E1D" w:rsidRPr="00DB2E1D" w14:paraId="5AB4E2F6" w14:textId="77777777" w:rsidTr="00DB2E1D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170202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DB2E1D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How Attendance Delivers ROI</w:t>
                  </w:r>
                </w:p>
              </w:tc>
            </w:tr>
          </w:tbl>
          <w:p w14:paraId="6873E835" w14:textId="77777777" w:rsidR="00DB2E1D" w:rsidRPr="00DB2E1D" w:rsidRDefault="00DB2E1D" w:rsidP="00DB2E1D">
            <w:pPr>
              <w:rPr>
                <w:rFonts w:ascii="Arial" w:hAnsi="Arial" w:cs="Arial"/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3833ECEC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A02839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5800462C" w14:textId="77777777" w:rsidR="00DB2E1D" w:rsidRPr="00DB2E1D" w:rsidRDefault="00DB2E1D" w:rsidP="00DB2E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2E1D" w14:paraId="3A59E47E" w14:textId="77777777" w:rsidTr="00DB2E1D"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8"/>
            </w:tblGrid>
            <w:tr w:rsidR="00DB2E1D" w:rsidRPr="00DB2E1D" w14:paraId="0C077553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64546C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Keeping up with regulatory updates from the TGA</w:t>
                  </w:r>
                </w:p>
              </w:tc>
            </w:tr>
          </w:tbl>
          <w:p w14:paraId="152CAC93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0DB384B3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E53873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C853531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7"/>
            </w:tblGrid>
            <w:tr w:rsidR="00DB2E1D" w:rsidRPr="00DB2E1D" w14:paraId="4EE48DD5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55EFFC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Prescription &amp; Non-prescription Medicines Regulation (Day 1 &amp; 2)</w:t>
                  </w:r>
                </w:p>
              </w:tc>
            </w:tr>
          </w:tbl>
          <w:p w14:paraId="312204D0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2E30E539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1F70A4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7D567110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0"/>
            </w:tblGrid>
            <w:tr w:rsidR="00DB2E1D" w:rsidRPr="00DB2E1D" w14:paraId="2B6BC5EE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AEEAA0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Regulatory Affairs</w:t>
                  </w:r>
                </w:p>
              </w:tc>
            </w:tr>
          </w:tbl>
          <w:p w14:paraId="60951214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1B3B5609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E36234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783C71F6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9"/>
            </w:tblGrid>
            <w:tr w:rsidR="00DB2E1D" w:rsidRPr="00DB2E1D" w14:paraId="5E74A37E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F0C9A6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Ensures we remain compliant and adapt to evolving regulatory expectations.</w:t>
                  </w:r>
                </w:p>
              </w:tc>
            </w:tr>
          </w:tbl>
          <w:p w14:paraId="3BB10FD6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6A494480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B95046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1ECF403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</w:tr>
      <w:tr w:rsidR="00DB2E1D" w14:paraId="2D09269D" w14:textId="77777777" w:rsidTr="00DB2E1D"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8"/>
            </w:tblGrid>
            <w:tr w:rsidR="00DB2E1D" w:rsidRPr="00DB2E1D" w14:paraId="6C168976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738DE0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Strengthening our approach to clinical trials and workforce capacity</w:t>
                  </w:r>
                </w:p>
              </w:tc>
            </w:tr>
          </w:tbl>
          <w:p w14:paraId="37A471D3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78901C3D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AF77B5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259F819A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7"/>
            </w:tblGrid>
            <w:tr w:rsidR="00DB2E1D" w:rsidRPr="00DB2E1D" w14:paraId="5C4E638D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33E7BF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Clinical Research / Careers &amp; the MTP Sector (Day 2 &amp; 3)</w:t>
                  </w:r>
                </w:p>
              </w:tc>
            </w:tr>
          </w:tbl>
          <w:p w14:paraId="464DF7E8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1821AEE9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2C5766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733BC3E3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9"/>
            </w:tblGrid>
            <w:tr w:rsidR="00DB2E1D" w:rsidRPr="00DB2E1D" w14:paraId="2D829F52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9AF3AB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Clinical Operations / Workforce Development</w:t>
                  </w:r>
                </w:p>
              </w:tc>
            </w:tr>
          </w:tbl>
          <w:p w14:paraId="0726C91C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2A64855D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FDF31D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6D6DE97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9"/>
            </w:tblGrid>
            <w:tr w:rsidR="00DB2E1D" w:rsidRPr="00DB2E1D" w14:paraId="353F2B8E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4A7A36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Gain access to new strategies for site performance, staff development, and clinical excellence.</w:t>
                  </w:r>
                </w:p>
              </w:tc>
            </w:tr>
          </w:tbl>
          <w:p w14:paraId="5376BA6E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46740434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DAF19E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0C261BE7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</w:tr>
      <w:tr w:rsidR="00DB2E1D" w14:paraId="6566CFBE" w14:textId="77777777" w:rsidTr="00DB2E1D"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8"/>
            </w:tblGrid>
            <w:tr w:rsidR="00DB2E1D" w:rsidRPr="00DB2E1D" w14:paraId="12C26096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30BCA9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Enhancing data use and digital transformation in our work</w:t>
                  </w:r>
                </w:p>
              </w:tc>
            </w:tr>
          </w:tbl>
          <w:p w14:paraId="46000F04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22116710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4CF2F5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1B29A1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7"/>
            </w:tblGrid>
            <w:tr w:rsidR="00DB2E1D" w:rsidRPr="00DB2E1D" w14:paraId="22527F6A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561439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Data, Technology &amp; Informatics (Day 2)</w:t>
                  </w:r>
                </w:p>
              </w:tc>
            </w:tr>
          </w:tbl>
          <w:p w14:paraId="51EEBB88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7E33E703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9D28D2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418E219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9"/>
            </w:tblGrid>
            <w:tr w:rsidR="00DB2E1D" w:rsidRPr="00DB2E1D" w14:paraId="10B7710F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5AC800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Technology &amp; Innovation</w:t>
                  </w:r>
                </w:p>
              </w:tc>
            </w:tr>
          </w:tbl>
          <w:p w14:paraId="687903BF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3CA18F61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91922E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9A6C667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9"/>
            </w:tblGrid>
            <w:tr w:rsidR="00DB2E1D" w:rsidRPr="00DB2E1D" w14:paraId="712A56ED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FB63A4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Helps future-proof our systems and processes through exposure to emerging tech.</w:t>
                  </w:r>
                </w:p>
              </w:tc>
            </w:tr>
          </w:tbl>
          <w:p w14:paraId="0055C5D3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210324F0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92EFB7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6E1637C7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</w:tr>
      <w:tr w:rsidR="00DB2E1D" w14:paraId="2A602625" w14:textId="77777777" w:rsidTr="00DB2E1D"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8"/>
            </w:tblGrid>
            <w:tr w:rsidR="00DB2E1D" w:rsidRPr="00DB2E1D" w14:paraId="66A7D5AF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51F16D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Supporting a more inclusive and diverse research environment</w:t>
                  </w:r>
                </w:p>
              </w:tc>
            </w:tr>
          </w:tbl>
          <w:p w14:paraId="4FBD9AC7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4A70FE1F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E795F7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343C8F01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7"/>
            </w:tblGrid>
            <w:tr w:rsidR="00DB2E1D" w:rsidRPr="00DB2E1D" w14:paraId="51CA9892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059FA6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Diversity, Inclusiveness &amp; Consumer Engagement (Day 3)</w:t>
                  </w:r>
                </w:p>
              </w:tc>
            </w:tr>
          </w:tbl>
          <w:p w14:paraId="644BEDC8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77F13BF7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EDFC34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246F12F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9"/>
            </w:tblGrid>
            <w:tr w:rsidR="00DB2E1D" w:rsidRPr="00DB2E1D" w14:paraId="61CB43C7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137063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Stakeholder Engagement / Ethics</w:t>
                  </w:r>
                </w:p>
              </w:tc>
            </w:tr>
          </w:tbl>
          <w:p w14:paraId="4DF423E0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7103AB00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1133F9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69F470E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9"/>
            </w:tblGrid>
            <w:tr w:rsidR="00DB2E1D" w:rsidRPr="00DB2E1D" w14:paraId="32124486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314AE0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Learn practical ways to design more representative and community-responsive trials.</w:t>
                  </w:r>
                </w:p>
              </w:tc>
            </w:tr>
          </w:tbl>
          <w:p w14:paraId="01DB97A9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569C5E28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55CCBD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6775B9A7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</w:tr>
      <w:tr w:rsidR="00DB2E1D" w14:paraId="6384E3C6" w14:textId="77777777" w:rsidTr="00DB2E1D"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8"/>
            </w:tblGrid>
            <w:tr w:rsidR="00DB2E1D" w:rsidRPr="00DB2E1D" w14:paraId="44DB3355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09D271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Improving leadership capabilities and staff resilience</w:t>
                  </w:r>
                </w:p>
              </w:tc>
            </w:tr>
          </w:tbl>
          <w:p w14:paraId="284D2E81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2B3661DA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FDD08C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712CD66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7"/>
            </w:tblGrid>
            <w:tr w:rsidR="00DB2E1D" w:rsidRPr="00DB2E1D" w14:paraId="75FDF1EA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73E3FC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Leadership, Wellness &amp; Resilience (Days 1 &amp; 3)</w:t>
                  </w:r>
                </w:p>
              </w:tc>
            </w:tr>
          </w:tbl>
          <w:p w14:paraId="2A36A721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288F9C01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B6600D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375EA975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9"/>
            </w:tblGrid>
            <w:tr w:rsidR="00DB2E1D" w:rsidRPr="00DB2E1D" w14:paraId="68EA5632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7C9EF2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Leadership &amp; Culture</w:t>
                  </w:r>
                </w:p>
              </w:tc>
            </w:tr>
          </w:tbl>
          <w:p w14:paraId="00F9A36B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68851B16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FEFEE4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597BA75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9"/>
            </w:tblGrid>
            <w:tr w:rsidR="00DB2E1D" w:rsidRPr="00DB2E1D" w14:paraId="2ACA6351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9810D3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Acquire strategies to support team wellbeing, retention, and growth.</w:t>
                  </w:r>
                </w:p>
              </w:tc>
            </w:tr>
          </w:tbl>
          <w:p w14:paraId="3150ED39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679BA88A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A97289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68D8E2E2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</w:tr>
      <w:tr w:rsidR="00DB2E1D" w14:paraId="11255B97" w14:textId="77777777" w:rsidTr="00DB2E1D"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8"/>
            </w:tblGrid>
            <w:tr w:rsidR="00DB2E1D" w:rsidRPr="00DB2E1D" w14:paraId="283CDA90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E49535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Commercialisation insights from innovators and entrepreneurs</w:t>
                  </w:r>
                </w:p>
              </w:tc>
            </w:tr>
          </w:tbl>
          <w:p w14:paraId="419984A7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6BD7489F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82D94E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5A41130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7"/>
            </w:tblGrid>
            <w:tr w:rsidR="00DB2E1D" w:rsidRPr="00DB2E1D" w14:paraId="36A3995A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39C768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Innovation / NSW Early Drug Discovery / BioBeacon (Day 3)</w:t>
                  </w:r>
                </w:p>
              </w:tc>
            </w:tr>
          </w:tbl>
          <w:p w14:paraId="3D3EF0DB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5DDDFEAD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AACF43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2343DAC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9"/>
            </w:tblGrid>
            <w:tr w:rsidR="00DB2E1D" w:rsidRPr="00DB2E1D" w14:paraId="1DBF7485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340563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B2E1D">
                    <w:rPr>
                      <w:rFonts w:ascii="Arial" w:hAnsi="Arial" w:cs="Arial"/>
                    </w:rPr>
                    <w:t>Innovation &amp; Strategy</w:t>
                  </w:r>
                </w:p>
              </w:tc>
            </w:tr>
          </w:tbl>
          <w:p w14:paraId="54E5C5B7" w14:textId="77777777" w:rsidR="00DB2E1D" w:rsidRPr="00DB2E1D" w:rsidRDefault="00DB2E1D" w:rsidP="00DB2E1D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2E1D" w:rsidRPr="00DB2E1D" w14:paraId="3C724E5F" w14:textId="77777777" w:rsidTr="00DB2E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DEEE8D" w14:textId="77777777" w:rsidR="00DB2E1D" w:rsidRPr="00DB2E1D" w:rsidRDefault="00DB2E1D" w:rsidP="00DB2E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692EC427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5AAC107" w14:textId="77777777" w:rsidR="00DB2E1D" w:rsidRPr="00DB2E1D" w:rsidRDefault="00DB2E1D" w:rsidP="00DB2E1D">
            <w:pPr>
              <w:rPr>
                <w:rFonts w:ascii="Arial" w:hAnsi="Arial" w:cs="Arial"/>
              </w:rPr>
            </w:pPr>
            <w:r w:rsidRPr="00DB2E1D">
              <w:rPr>
                <w:rFonts w:ascii="Arial" w:hAnsi="Arial" w:cs="Arial"/>
              </w:rPr>
              <w:t>Supports translation of R&amp;D into impact and new opportunities.</w:t>
            </w:r>
          </w:p>
          <w:p w14:paraId="4227EFBF" w14:textId="77777777" w:rsidR="00DB2E1D" w:rsidRPr="00DB2E1D" w:rsidRDefault="00DB2E1D" w:rsidP="00DB2E1D">
            <w:pPr>
              <w:rPr>
                <w:rFonts w:ascii="Arial" w:hAnsi="Arial" w:cs="Arial"/>
              </w:rPr>
            </w:pPr>
          </w:p>
        </w:tc>
      </w:tr>
    </w:tbl>
    <w:p w14:paraId="452842B8" w14:textId="15EEC2E6" w:rsidR="00FC4530" w:rsidRPr="00DB2E1D" w:rsidRDefault="00FC4530" w:rsidP="00DB2E1D">
      <w:pPr>
        <w:rPr>
          <w:rFonts w:ascii="Arial" w:hAnsi="Arial" w:cs="Arial"/>
        </w:rPr>
      </w:pPr>
    </w:p>
    <w:sectPr w:rsidR="00FC4530" w:rsidRPr="00DB2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1D"/>
    <w:rsid w:val="00367C6C"/>
    <w:rsid w:val="006E110F"/>
    <w:rsid w:val="00DB2E1D"/>
    <w:rsid w:val="00FC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9101A"/>
  <w15:chartTrackingRefBased/>
  <w15:docId w15:val="{9F259360-F2E5-4FF8-83E8-724B1E8D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E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255</Words>
  <Characters>1454</Characters>
  <Application>Microsoft Office Word</Application>
  <DocSecurity>0</DocSecurity>
  <Lines>12</Lines>
  <Paragraphs>3</Paragraphs>
  <ScaleCrop>false</ScaleCrop>
  <Company>Whitefriars College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Hayden</dc:creator>
  <cp:keywords/>
  <dc:description/>
  <cp:lastModifiedBy>Lee, Hayden</cp:lastModifiedBy>
  <cp:revision>1</cp:revision>
  <dcterms:created xsi:type="dcterms:W3CDTF">2025-03-30T22:37:00Z</dcterms:created>
  <dcterms:modified xsi:type="dcterms:W3CDTF">2025-03-30T22:43:00Z</dcterms:modified>
</cp:coreProperties>
</file>