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BB7" w:rsidRPr="000E3E5B" w:rsidRDefault="002A5BB7" w:rsidP="002A5BB7">
      <w:pPr>
        <w:spacing w:after="0" w:line="240" w:lineRule="auto"/>
        <w:rPr>
          <w:rFonts w:ascii="Arial" w:hAnsi="Arial" w:cs="Arial"/>
          <w:sz w:val="20"/>
          <w:szCs w:val="20"/>
        </w:rPr>
      </w:pPr>
    </w:p>
    <w:p w:rsidR="009A034C" w:rsidRDefault="009A034C" w:rsidP="002A5BB7">
      <w:pPr>
        <w:spacing w:after="0" w:line="240" w:lineRule="auto"/>
        <w:rPr>
          <w:rFonts w:ascii="Arial" w:hAnsi="Arial" w:cs="Arial"/>
          <w:b/>
          <w:sz w:val="20"/>
          <w:szCs w:val="20"/>
        </w:rPr>
      </w:pPr>
    </w:p>
    <w:p w:rsidR="002A5BB7" w:rsidRPr="009A034C" w:rsidRDefault="002A5BB7" w:rsidP="002A5BB7">
      <w:pPr>
        <w:spacing w:after="0" w:line="240" w:lineRule="auto"/>
        <w:rPr>
          <w:rFonts w:ascii="Arial" w:hAnsi="Arial" w:cs="Arial"/>
          <w:sz w:val="20"/>
          <w:szCs w:val="20"/>
        </w:rPr>
      </w:pPr>
      <w:r w:rsidRPr="00724FA9">
        <w:rPr>
          <w:rFonts w:ascii="Arial" w:hAnsi="Arial" w:cs="Arial"/>
          <w:b/>
          <w:sz w:val="20"/>
          <w:szCs w:val="20"/>
        </w:rPr>
        <w:t xml:space="preserve">Presentation title: </w:t>
      </w:r>
      <w:r w:rsidR="00261A90">
        <w:rPr>
          <w:rFonts w:ascii="Arial" w:hAnsi="Arial" w:cs="Arial"/>
          <w:b/>
          <w:sz w:val="20"/>
          <w:szCs w:val="20"/>
        </w:rPr>
        <w:t>Critical Case Analysis as an exam preparation tool for Case Based Discussion</w:t>
      </w:r>
    </w:p>
    <w:p w:rsidR="002A5BB7" w:rsidRDefault="002A5BB7" w:rsidP="002A5BB7">
      <w:pPr>
        <w:spacing w:after="0" w:line="240" w:lineRule="auto"/>
        <w:rPr>
          <w:rFonts w:ascii="Arial" w:hAnsi="Arial" w:cs="Arial"/>
          <w:b/>
          <w:sz w:val="20"/>
          <w:szCs w:val="20"/>
        </w:rPr>
      </w:pPr>
    </w:p>
    <w:p w:rsidR="0011732E" w:rsidRPr="00724FA9" w:rsidRDefault="0011732E" w:rsidP="002A5BB7">
      <w:pPr>
        <w:spacing w:after="0" w:line="240" w:lineRule="auto"/>
        <w:rPr>
          <w:rFonts w:ascii="Arial" w:hAnsi="Arial" w:cs="Arial"/>
          <w:b/>
          <w:sz w:val="20"/>
          <w:szCs w:val="20"/>
        </w:rPr>
      </w:pPr>
    </w:p>
    <w:p w:rsidR="002A5BB7" w:rsidRDefault="002A5BB7" w:rsidP="002A5BB7">
      <w:pPr>
        <w:spacing w:after="0" w:line="240" w:lineRule="auto"/>
        <w:rPr>
          <w:rFonts w:ascii="Arial" w:hAnsi="Arial" w:cs="Arial"/>
          <w:sz w:val="20"/>
          <w:szCs w:val="20"/>
        </w:rPr>
      </w:pPr>
      <w:r w:rsidRPr="00724FA9">
        <w:rPr>
          <w:rFonts w:ascii="Arial" w:hAnsi="Arial" w:cs="Arial"/>
          <w:b/>
          <w:sz w:val="20"/>
          <w:szCs w:val="20"/>
        </w:rPr>
        <w:t>Abstract</w:t>
      </w:r>
      <w:r w:rsidRPr="000E3E5B">
        <w:rPr>
          <w:rFonts w:ascii="Arial" w:hAnsi="Arial" w:cs="Arial"/>
          <w:sz w:val="20"/>
          <w:szCs w:val="20"/>
        </w:rPr>
        <w:t xml:space="preserve"> (max. 300 words): </w:t>
      </w:r>
      <w:bookmarkStart w:id="0" w:name="_GoBack"/>
      <w:bookmarkEnd w:id="0"/>
    </w:p>
    <w:p w:rsidR="0011732E" w:rsidRDefault="0011732E" w:rsidP="002A5BB7">
      <w:pPr>
        <w:spacing w:after="0" w:line="240" w:lineRule="auto"/>
        <w:rPr>
          <w:rFonts w:ascii="Arial" w:hAnsi="Arial" w:cs="Arial"/>
          <w:sz w:val="20"/>
          <w:szCs w:val="20"/>
        </w:rPr>
      </w:pPr>
    </w:p>
    <w:p w:rsidR="00261A90" w:rsidRPr="00261A90" w:rsidRDefault="00261A90" w:rsidP="00261A90">
      <w:pPr>
        <w:spacing w:after="0" w:line="240" w:lineRule="auto"/>
        <w:rPr>
          <w:rFonts w:ascii="Calibri" w:eastAsia="Times New Roman" w:hAnsi="Calibri" w:cs="Times New Roman"/>
          <w:sz w:val="24"/>
          <w:szCs w:val="24"/>
          <w:lang w:eastAsia="en-AU"/>
        </w:rPr>
      </w:pPr>
      <w:proofErr w:type="spellStart"/>
      <w:r w:rsidRPr="00261A90">
        <w:rPr>
          <w:rFonts w:ascii="Calibri" w:eastAsia="Times New Roman" w:hAnsi="Calibri" w:cs="Times New Roman"/>
          <w:sz w:val="24"/>
          <w:szCs w:val="24"/>
          <w:lang w:eastAsia="en-AU"/>
        </w:rPr>
        <w:t>GPEx</w:t>
      </w:r>
      <w:proofErr w:type="spellEnd"/>
      <w:r w:rsidRPr="00261A90">
        <w:rPr>
          <w:rFonts w:ascii="Calibri" w:eastAsia="Times New Roman" w:hAnsi="Calibri" w:cs="Times New Roman"/>
          <w:sz w:val="24"/>
          <w:szCs w:val="24"/>
          <w:lang w:eastAsia="en-AU"/>
        </w:rPr>
        <w:t xml:space="preserve"> and its predecessor </w:t>
      </w:r>
      <w:proofErr w:type="gramStart"/>
      <w:r w:rsidRPr="00261A90">
        <w:rPr>
          <w:rFonts w:ascii="Calibri" w:eastAsia="Times New Roman" w:hAnsi="Calibri" w:cs="Times New Roman"/>
          <w:sz w:val="24"/>
          <w:szCs w:val="24"/>
          <w:lang w:eastAsia="en-AU"/>
        </w:rPr>
        <w:t>SFET,</w:t>
      </w:r>
      <w:proofErr w:type="gramEnd"/>
      <w:r w:rsidRPr="00261A90">
        <w:rPr>
          <w:rFonts w:ascii="Calibri" w:eastAsia="Times New Roman" w:hAnsi="Calibri" w:cs="Times New Roman"/>
          <w:sz w:val="24"/>
          <w:szCs w:val="24"/>
          <w:lang w:eastAsia="en-AU"/>
        </w:rPr>
        <w:t xml:space="preserve"> have been using critical case analysis [CCA] as a routine part of their training program since 2007. As a case-based learning approach, this structured tool has enabled registrars to systematically approach difficult cases, and enhance learning opportunities through a focus on the domains of general practice. A fundamental aspect of the CCA pro forma includes encouraging registrars to write mock exam questions, which are delivered, along with the case discussion, to small groups as part of the </w:t>
      </w:r>
      <w:proofErr w:type="spellStart"/>
      <w:r w:rsidRPr="00261A90">
        <w:rPr>
          <w:rFonts w:ascii="Calibri" w:eastAsia="Times New Roman" w:hAnsi="Calibri" w:cs="Times New Roman"/>
          <w:sz w:val="24"/>
          <w:szCs w:val="24"/>
          <w:lang w:eastAsia="en-AU"/>
        </w:rPr>
        <w:t>GPEx</w:t>
      </w:r>
      <w:proofErr w:type="spellEnd"/>
      <w:r w:rsidRPr="00261A90">
        <w:rPr>
          <w:rFonts w:ascii="Calibri" w:eastAsia="Times New Roman" w:hAnsi="Calibri" w:cs="Times New Roman"/>
          <w:sz w:val="24"/>
          <w:szCs w:val="24"/>
          <w:lang w:eastAsia="en-AU"/>
        </w:rPr>
        <w:t xml:space="preserve"> day release program. Feedback on management is discussed during these sessions in a supportive manner, with both colleagues and medical educators. </w:t>
      </w:r>
    </w:p>
    <w:p w:rsidR="00261A90" w:rsidRPr="00261A90" w:rsidRDefault="00261A90" w:rsidP="00261A90">
      <w:pPr>
        <w:spacing w:after="0" w:line="240" w:lineRule="auto"/>
        <w:rPr>
          <w:rFonts w:ascii="Calibri" w:eastAsia="Times New Roman" w:hAnsi="Calibri" w:cs="Times New Roman"/>
          <w:sz w:val="24"/>
          <w:szCs w:val="24"/>
          <w:lang w:eastAsia="en-AU"/>
        </w:rPr>
      </w:pPr>
    </w:p>
    <w:p w:rsidR="00261A90" w:rsidRPr="00261A90" w:rsidRDefault="00261A90" w:rsidP="00261A90">
      <w:pPr>
        <w:spacing w:after="0" w:line="240" w:lineRule="auto"/>
        <w:rPr>
          <w:rFonts w:ascii="Calibri" w:eastAsia="Times New Roman" w:hAnsi="Calibri" w:cs="Times New Roman"/>
          <w:sz w:val="24"/>
          <w:szCs w:val="24"/>
          <w:lang w:eastAsia="en-AU"/>
        </w:rPr>
      </w:pPr>
      <w:r w:rsidRPr="00261A90">
        <w:rPr>
          <w:rFonts w:ascii="Calibri" w:eastAsia="Times New Roman" w:hAnsi="Calibri" w:cs="Times New Roman"/>
          <w:sz w:val="24"/>
          <w:szCs w:val="24"/>
          <w:lang w:eastAsia="en-AU"/>
        </w:rPr>
        <w:t xml:space="preserve">With particular regard to the Case Based Discussion [CBD] examination, the CCA pro forma provides an excellent template for registrars preparing for this aspect of the examination. By directing registrars to reflect on their own practice in relation to the domains of general practice, the CCA tool enables </w:t>
      </w:r>
      <w:proofErr w:type="gramStart"/>
      <w:r w:rsidRPr="00261A90">
        <w:rPr>
          <w:rFonts w:ascii="Calibri" w:eastAsia="Times New Roman" w:hAnsi="Calibri" w:cs="Times New Roman"/>
          <w:sz w:val="24"/>
          <w:szCs w:val="24"/>
          <w:lang w:eastAsia="en-AU"/>
        </w:rPr>
        <w:t>registrars</w:t>
      </w:r>
      <w:proofErr w:type="gramEnd"/>
      <w:r w:rsidRPr="00261A90">
        <w:rPr>
          <w:rFonts w:ascii="Calibri" w:eastAsia="Times New Roman" w:hAnsi="Calibri" w:cs="Times New Roman"/>
          <w:sz w:val="24"/>
          <w:szCs w:val="24"/>
          <w:lang w:eastAsia="en-AU"/>
        </w:rPr>
        <w:t xml:space="preserve"> insight in the questioning approach intrinsic to the CBD, and to anticipate the areas that may be explored during the CBD process. </w:t>
      </w:r>
    </w:p>
    <w:p w:rsidR="00261A90" w:rsidRPr="00261A90" w:rsidRDefault="00261A90" w:rsidP="00261A90">
      <w:pPr>
        <w:spacing w:after="0" w:line="240" w:lineRule="auto"/>
        <w:rPr>
          <w:rFonts w:ascii="Calibri" w:eastAsia="Times New Roman" w:hAnsi="Calibri" w:cs="Times New Roman"/>
          <w:sz w:val="24"/>
          <w:szCs w:val="24"/>
          <w:lang w:eastAsia="en-AU"/>
        </w:rPr>
      </w:pPr>
    </w:p>
    <w:p w:rsidR="00261A90" w:rsidRPr="00261A90" w:rsidRDefault="00261A90" w:rsidP="00261A90">
      <w:pPr>
        <w:spacing w:after="0" w:line="240" w:lineRule="auto"/>
        <w:rPr>
          <w:rFonts w:ascii="Calibri" w:eastAsia="Times New Roman" w:hAnsi="Calibri" w:cs="Times New Roman"/>
          <w:sz w:val="24"/>
          <w:szCs w:val="24"/>
          <w:lang w:eastAsia="en-AU"/>
        </w:rPr>
      </w:pPr>
      <w:r w:rsidRPr="00261A90">
        <w:rPr>
          <w:rFonts w:ascii="Calibri" w:eastAsia="Times New Roman" w:hAnsi="Calibri" w:cs="Times New Roman"/>
          <w:sz w:val="24"/>
          <w:szCs w:val="24"/>
          <w:lang w:eastAsia="en-AU"/>
        </w:rPr>
        <w:t xml:space="preserve">This session will focus on the tools and teaching processes used for delivery of CCA through the </w:t>
      </w:r>
      <w:proofErr w:type="spellStart"/>
      <w:r w:rsidRPr="00261A90">
        <w:rPr>
          <w:rFonts w:ascii="Calibri" w:eastAsia="Times New Roman" w:hAnsi="Calibri" w:cs="Times New Roman"/>
          <w:sz w:val="24"/>
          <w:szCs w:val="24"/>
          <w:lang w:eastAsia="en-AU"/>
        </w:rPr>
        <w:t>GPEx</w:t>
      </w:r>
      <w:proofErr w:type="spellEnd"/>
      <w:r w:rsidRPr="00261A90">
        <w:rPr>
          <w:rFonts w:ascii="Calibri" w:eastAsia="Times New Roman" w:hAnsi="Calibri" w:cs="Times New Roman"/>
          <w:sz w:val="24"/>
          <w:szCs w:val="24"/>
          <w:lang w:eastAsia="en-AU"/>
        </w:rPr>
        <w:t xml:space="preserve"> education framework. We will discuss how the tool has been used specifically to help registrars prepare for the CBD. Feedback from registrars and medical educators on the approach will be discussed.</w:t>
      </w:r>
    </w:p>
    <w:p w:rsidR="00261A90" w:rsidRPr="000E3E5B" w:rsidRDefault="00261A90" w:rsidP="002A5BB7">
      <w:pPr>
        <w:spacing w:after="0" w:line="240" w:lineRule="auto"/>
        <w:rPr>
          <w:rFonts w:ascii="Arial" w:hAnsi="Arial" w:cs="Arial"/>
          <w:sz w:val="20"/>
          <w:szCs w:val="20"/>
        </w:rPr>
      </w:pPr>
    </w:p>
    <w:sectPr w:rsidR="00261A90" w:rsidRPr="000E3E5B" w:rsidSect="000E3E5B">
      <w:headerReference w:type="default" r:id="rId7"/>
      <w:pgSz w:w="11906" w:h="16838"/>
      <w:pgMar w:top="720" w:right="720" w:bottom="720" w:left="720" w:header="45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172" w:rsidRDefault="00C20172" w:rsidP="000E3E5B">
      <w:pPr>
        <w:spacing w:after="0" w:line="240" w:lineRule="auto"/>
      </w:pPr>
      <w:r>
        <w:separator/>
      </w:r>
    </w:p>
  </w:endnote>
  <w:endnote w:type="continuationSeparator" w:id="0">
    <w:p w:rsidR="00C20172" w:rsidRDefault="00C20172" w:rsidP="000E3E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172" w:rsidRDefault="00C20172" w:rsidP="000E3E5B">
      <w:pPr>
        <w:spacing w:after="0" w:line="240" w:lineRule="auto"/>
      </w:pPr>
      <w:r>
        <w:separator/>
      </w:r>
    </w:p>
  </w:footnote>
  <w:footnote w:type="continuationSeparator" w:id="0">
    <w:p w:rsidR="00C20172" w:rsidRDefault="00C20172" w:rsidP="000E3E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E3E5B" w:rsidRDefault="000E3E5B">
    <w:pPr>
      <w:pStyle w:val="Header"/>
    </w:pPr>
    <w:r>
      <w:rPr>
        <w:noProof/>
        <w:lang w:eastAsia="en-AU"/>
      </w:rPr>
      <w:drawing>
        <wp:inline distT="0" distB="0" distL="0" distR="0">
          <wp:extent cx="1985528" cy="690916"/>
          <wp:effectExtent l="0" t="0" r="0" b="0"/>
          <wp:docPr id="2" name="Picture 2" descr="M:\Events\Internal\RMA Conference\Logo\46683 RMA 2017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vents\Internal\RMA Conference\Logo\46683 RMA 2017 logo.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86161" cy="691136"/>
                  </a:xfrm>
                  <a:prstGeom prst="rect">
                    <a:avLst/>
                  </a:prstGeom>
                  <a:noFill/>
                  <a:ln>
                    <a:noFill/>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footnotePr>
    <w:footnote w:id="-1"/>
    <w:footnote w:id="0"/>
  </w:footnotePr>
  <w:endnotePr>
    <w:endnote w:id="-1"/>
    <w:endnote w:id="0"/>
  </w:endnotePr>
  <w:compat/>
  <w:rsids>
    <w:rsidRoot w:val="002A5BB7"/>
    <w:rsid w:val="000E3E5B"/>
    <w:rsid w:val="0011732E"/>
    <w:rsid w:val="00257D58"/>
    <w:rsid w:val="00261A90"/>
    <w:rsid w:val="002A5BB7"/>
    <w:rsid w:val="00724FA9"/>
    <w:rsid w:val="00836C6D"/>
    <w:rsid w:val="009A034C"/>
    <w:rsid w:val="009B017B"/>
    <w:rsid w:val="00C20172"/>
    <w:rsid w:val="00CE1924"/>
    <w:rsid w:val="00F50C90"/>
    <w:rsid w:val="00F6035C"/>
    <w:rsid w:val="00FC03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192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B7"/>
    <w:rPr>
      <w:rFonts w:ascii="Tahoma" w:hAnsi="Tahoma" w:cs="Tahoma"/>
      <w:sz w:val="16"/>
      <w:szCs w:val="16"/>
    </w:rPr>
  </w:style>
  <w:style w:type="paragraph" w:styleId="Header">
    <w:name w:val="header"/>
    <w:basedOn w:val="Normal"/>
    <w:link w:val="HeaderChar"/>
    <w:uiPriority w:val="99"/>
    <w:unhideWhenUsed/>
    <w:rsid w:val="000E3E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E5B"/>
  </w:style>
  <w:style w:type="paragraph" w:styleId="Footer">
    <w:name w:val="footer"/>
    <w:basedOn w:val="Normal"/>
    <w:link w:val="FooterChar"/>
    <w:uiPriority w:val="99"/>
    <w:unhideWhenUsed/>
    <w:rsid w:val="000E3E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E5B"/>
  </w:style>
</w:styles>
</file>

<file path=word/webSettings.xml><?xml version="1.0" encoding="utf-8"?>
<w:webSettings xmlns:r="http://schemas.openxmlformats.org/officeDocument/2006/relationships" xmlns:w="http://schemas.openxmlformats.org/wordprocessingml/2006/main">
  <w:divs>
    <w:div w:id="1656446310">
      <w:bodyDiv w:val="1"/>
      <w:marLeft w:val="0"/>
      <w:marRight w:val="0"/>
      <w:marTop w:val="0"/>
      <w:marBottom w:val="0"/>
      <w:divBdr>
        <w:top w:val="none" w:sz="0" w:space="0" w:color="auto"/>
        <w:left w:val="none" w:sz="0" w:space="0" w:color="auto"/>
        <w:bottom w:val="none" w:sz="0" w:space="0" w:color="auto"/>
        <w:right w:val="none" w:sz="0" w:space="0" w:color="auto"/>
      </w:divBdr>
      <w:divsChild>
        <w:div w:id="1932739715">
          <w:marLeft w:val="0"/>
          <w:marRight w:val="0"/>
          <w:marTop w:val="0"/>
          <w:marBottom w:val="0"/>
          <w:divBdr>
            <w:top w:val="none" w:sz="0" w:space="0" w:color="auto"/>
            <w:left w:val="none" w:sz="0" w:space="0" w:color="auto"/>
            <w:bottom w:val="none" w:sz="0" w:space="0" w:color="auto"/>
            <w:right w:val="none" w:sz="0" w:space="0" w:color="auto"/>
          </w:divBdr>
        </w:div>
        <w:div w:id="2074351035">
          <w:marLeft w:val="0"/>
          <w:marRight w:val="0"/>
          <w:marTop w:val="0"/>
          <w:marBottom w:val="0"/>
          <w:divBdr>
            <w:top w:val="none" w:sz="0" w:space="0" w:color="auto"/>
            <w:left w:val="none" w:sz="0" w:space="0" w:color="auto"/>
            <w:bottom w:val="none" w:sz="0" w:space="0" w:color="auto"/>
            <w:right w:val="none" w:sz="0" w:space="0" w:color="auto"/>
          </w:divBdr>
        </w:div>
        <w:div w:id="583220525">
          <w:marLeft w:val="0"/>
          <w:marRight w:val="0"/>
          <w:marTop w:val="0"/>
          <w:marBottom w:val="0"/>
          <w:divBdr>
            <w:top w:val="none" w:sz="0" w:space="0" w:color="auto"/>
            <w:left w:val="none" w:sz="0" w:space="0" w:color="auto"/>
            <w:bottom w:val="none" w:sz="0" w:space="0" w:color="auto"/>
            <w:right w:val="none" w:sz="0" w:space="0" w:color="auto"/>
          </w:divBdr>
        </w:div>
        <w:div w:id="2062634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A332B8-ED77-42F4-A60C-706618976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ACRRM</Company>
  <LinksUpToDate>false</LinksUpToDate>
  <CharactersWithSpaces>1564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Lyssa Borham</dc:creator>
  <cp:lastModifiedBy>bena</cp:lastModifiedBy>
  <cp:revision>2</cp:revision>
  <cp:lastPrinted>2017-02-15T03:53:00Z</cp:lastPrinted>
  <dcterms:created xsi:type="dcterms:W3CDTF">2017-06-30T08:52:00Z</dcterms:created>
  <dcterms:modified xsi:type="dcterms:W3CDTF">2017-06-30T08:52:00Z</dcterms:modified>
</cp:coreProperties>
</file>