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BB7" w:rsidRPr="000E3E5B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A034C" w:rsidRDefault="009A034C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A5BB7" w:rsidRPr="009A034C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4FA9">
        <w:rPr>
          <w:rFonts w:ascii="Arial" w:hAnsi="Arial" w:cs="Arial"/>
          <w:b/>
          <w:sz w:val="20"/>
          <w:szCs w:val="20"/>
        </w:rPr>
        <w:t xml:space="preserve">Presentation title: </w:t>
      </w:r>
    </w:p>
    <w:p w:rsidR="002A5BB7" w:rsidRDefault="000A2B6B" w:rsidP="000A2B6B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A2B6B">
        <w:rPr>
          <w:rFonts w:ascii="Arial" w:hAnsi="Arial" w:cs="Arial"/>
          <w:b/>
          <w:sz w:val="20"/>
          <w:szCs w:val="20"/>
        </w:rPr>
        <w:t>Cattle-Related Trauma in Central Queensland;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A2B6B">
        <w:rPr>
          <w:rFonts w:ascii="Arial" w:hAnsi="Arial" w:cs="Arial"/>
          <w:b/>
          <w:sz w:val="20"/>
          <w:szCs w:val="20"/>
        </w:rPr>
        <w:t>A 5-year retrospective cohort study</w:t>
      </w:r>
    </w:p>
    <w:p w:rsidR="0011732E" w:rsidRPr="00724FA9" w:rsidRDefault="0011732E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A5BB7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4FA9">
        <w:rPr>
          <w:rFonts w:ascii="Arial" w:hAnsi="Arial" w:cs="Arial"/>
          <w:b/>
          <w:sz w:val="20"/>
          <w:szCs w:val="20"/>
        </w:rPr>
        <w:t>Abstract</w:t>
      </w:r>
      <w:r w:rsidRPr="000E3E5B">
        <w:rPr>
          <w:rFonts w:ascii="Arial" w:hAnsi="Arial" w:cs="Arial"/>
          <w:sz w:val="20"/>
          <w:szCs w:val="20"/>
        </w:rPr>
        <w:t xml:space="preserve"> (max. 300 words): </w:t>
      </w:r>
    </w:p>
    <w:p w:rsidR="000A2B6B" w:rsidRDefault="000A2B6B" w:rsidP="000A2B6B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A2B6B" w:rsidRPr="000A2B6B" w:rsidRDefault="000A2B6B" w:rsidP="000A2B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A2B6B">
        <w:rPr>
          <w:rFonts w:ascii="Arial" w:hAnsi="Arial" w:cs="Arial"/>
          <w:sz w:val="20"/>
          <w:szCs w:val="20"/>
        </w:rPr>
        <w:t>Introduction and Objectives</w:t>
      </w:r>
    </w:p>
    <w:p w:rsidR="000A2B6B" w:rsidRPr="000A2B6B" w:rsidRDefault="000A2B6B" w:rsidP="000A2B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A2B6B">
        <w:rPr>
          <w:rFonts w:ascii="Arial" w:hAnsi="Arial" w:cs="Arial"/>
          <w:sz w:val="20"/>
          <w:szCs w:val="20"/>
        </w:rPr>
        <w:t xml:space="preserve">Central Queensland (CQ) houses a large </w:t>
      </w:r>
      <w:r>
        <w:rPr>
          <w:rFonts w:ascii="Arial" w:hAnsi="Arial" w:cs="Arial"/>
          <w:sz w:val="20"/>
          <w:szCs w:val="20"/>
        </w:rPr>
        <w:t>one third</w:t>
      </w:r>
      <w:r w:rsidRPr="000A2B6B">
        <w:rPr>
          <w:rFonts w:ascii="Arial" w:hAnsi="Arial" w:cs="Arial"/>
          <w:sz w:val="20"/>
          <w:szCs w:val="20"/>
        </w:rPr>
        <w:t xml:space="preserve"> of </w:t>
      </w:r>
      <w:r>
        <w:rPr>
          <w:rFonts w:ascii="Arial" w:hAnsi="Arial" w:cs="Arial"/>
          <w:sz w:val="20"/>
          <w:szCs w:val="20"/>
        </w:rPr>
        <w:t xml:space="preserve">Queensland’s beef </w:t>
      </w:r>
      <w:r w:rsidRPr="000A2B6B">
        <w:rPr>
          <w:rFonts w:ascii="Arial" w:hAnsi="Arial" w:cs="Arial"/>
          <w:sz w:val="20"/>
          <w:szCs w:val="20"/>
        </w:rPr>
        <w:t>cattle industry.  This includes cattle related leisure activities such as bull riding.  Cattle related injury is inevitable and not well studied in CQ.</w:t>
      </w:r>
    </w:p>
    <w:p w:rsidR="000A2B6B" w:rsidRPr="000A2B6B" w:rsidRDefault="000A2B6B" w:rsidP="000A2B6B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A2B6B" w:rsidRPr="000A2B6B" w:rsidRDefault="000A2B6B" w:rsidP="000A2B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A2B6B">
        <w:rPr>
          <w:rFonts w:ascii="Arial" w:hAnsi="Arial" w:cs="Arial"/>
          <w:sz w:val="20"/>
          <w:szCs w:val="20"/>
        </w:rPr>
        <w:t xml:space="preserve">This study focussed on the type and severity of cattle injury within </w:t>
      </w:r>
      <w:r w:rsidRPr="000A2B6B">
        <w:rPr>
          <w:rFonts w:ascii="Arial" w:hAnsi="Arial" w:cs="Arial"/>
          <w:sz w:val="20"/>
          <w:szCs w:val="20"/>
        </w:rPr>
        <w:t>CQ requiring</w:t>
      </w:r>
      <w:r w:rsidRPr="000A2B6B">
        <w:rPr>
          <w:rFonts w:ascii="Arial" w:hAnsi="Arial" w:cs="Arial"/>
          <w:sz w:val="20"/>
          <w:szCs w:val="20"/>
        </w:rPr>
        <w:t xml:space="preserve"> admission to the main referral hospital.</w:t>
      </w:r>
    </w:p>
    <w:p w:rsidR="000A2B6B" w:rsidRPr="000A2B6B" w:rsidRDefault="000A2B6B" w:rsidP="000A2B6B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A2B6B" w:rsidRPr="000A2B6B" w:rsidRDefault="000A2B6B" w:rsidP="000A2B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A2B6B">
        <w:rPr>
          <w:rFonts w:ascii="Arial" w:hAnsi="Arial" w:cs="Arial"/>
          <w:sz w:val="20"/>
          <w:szCs w:val="20"/>
        </w:rPr>
        <w:t>Material and Methods</w:t>
      </w:r>
    </w:p>
    <w:p w:rsidR="000A2B6B" w:rsidRPr="000A2B6B" w:rsidRDefault="000A2B6B" w:rsidP="000A2B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A2B6B">
        <w:rPr>
          <w:rFonts w:ascii="Arial" w:hAnsi="Arial" w:cs="Arial"/>
          <w:sz w:val="20"/>
          <w:szCs w:val="20"/>
        </w:rPr>
        <w:t xml:space="preserve">A 5 year retrospective study (2011-2015) of patients admitted to Rockhampton hospital was performed.  Cattle specific ICD 10 codes were used to generate a data set. A chart review was then performed to find demographic data, activity and mechanism of injury, injury site, type and severity.  Appropriate ethics approval was gained.  </w:t>
      </w:r>
    </w:p>
    <w:p w:rsidR="000A2B6B" w:rsidRPr="000A2B6B" w:rsidRDefault="000A2B6B" w:rsidP="000A2B6B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A2B6B" w:rsidRPr="000A2B6B" w:rsidRDefault="000A2B6B" w:rsidP="000A2B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A2B6B">
        <w:rPr>
          <w:rFonts w:ascii="Arial" w:hAnsi="Arial" w:cs="Arial"/>
          <w:sz w:val="20"/>
          <w:szCs w:val="20"/>
        </w:rPr>
        <w:t>Results</w:t>
      </w:r>
    </w:p>
    <w:p w:rsidR="000A2B6B" w:rsidRPr="000A2B6B" w:rsidRDefault="000A2B6B" w:rsidP="000A2B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A2B6B">
        <w:rPr>
          <w:rFonts w:ascii="Arial" w:hAnsi="Arial" w:cs="Arial"/>
          <w:sz w:val="20"/>
          <w:szCs w:val="20"/>
        </w:rPr>
        <w:t>143 patients fulfilled inclusion criteria.  89% of those injured were male and the median (IQR) age was 27 (17-55) years.   74 (51%) of injuries were caused from bull-riding related activity, while the remaining 69 (48%) came from non-bull-riding related (mustering, feeding, tagging or working with cattle).  A variety of injury mechanisms were found.</w:t>
      </w:r>
    </w:p>
    <w:p w:rsidR="000A2B6B" w:rsidRPr="000A2B6B" w:rsidRDefault="000A2B6B" w:rsidP="000A2B6B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A2B6B" w:rsidRPr="000A2B6B" w:rsidRDefault="000A2B6B" w:rsidP="000A2B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A2B6B">
        <w:rPr>
          <w:rFonts w:ascii="Arial" w:hAnsi="Arial" w:cs="Arial"/>
          <w:sz w:val="20"/>
          <w:szCs w:val="20"/>
        </w:rPr>
        <w:t>74 (52%) had isolated injuries and 66 (46%) had multiple injuries.  Limbs were the most common site of injury (55%).  The most common injury type were fractures (42%), followed by soft tissue injuries.   The distribution of AIS (Abbreviated Injury Severity) scale was different across injury category.  92% of all injuries were managed locally.  Most injuries were considered mild to moderate using the AIS.  The median (IQR) hospital stay was 1 (1-3) day and 69 (48%) of patients required operative intervention.  12% of the cohort experienced a complication during their admission.</w:t>
      </w:r>
    </w:p>
    <w:p w:rsidR="000A2B6B" w:rsidRPr="000A2B6B" w:rsidRDefault="000A2B6B" w:rsidP="000A2B6B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A2B6B" w:rsidRPr="000A2B6B" w:rsidRDefault="000A2B6B" w:rsidP="000A2B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A2B6B">
        <w:rPr>
          <w:rFonts w:ascii="Arial" w:hAnsi="Arial" w:cs="Arial"/>
          <w:sz w:val="20"/>
          <w:szCs w:val="20"/>
        </w:rPr>
        <w:t>Conclusion</w:t>
      </w:r>
    </w:p>
    <w:p w:rsidR="000A2B6B" w:rsidRPr="000A2B6B" w:rsidRDefault="000A2B6B" w:rsidP="000A2B6B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1732E" w:rsidRDefault="000A2B6B" w:rsidP="000A2B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A2B6B">
        <w:rPr>
          <w:rFonts w:ascii="Arial" w:hAnsi="Arial" w:cs="Arial"/>
          <w:sz w:val="20"/>
          <w:szCs w:val="20"/>
        </w:rPr>
        <w:t>The injuries associated with bull riding to non-bull riding is approximately 50% each.  Most injuries result in an isolated, less severe injury and tend to involve limbs.  These patients require further investigation to highlight possible preventative strategies.</w:t>
      </w:r>
    </w:p>
    <w:p w:rsidR="000A2B6B" w:rsidRDefault="000A2B6B" w:rsidP="000A2B6B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A2B6B" w:rsidRDefault="000A2B6B" w:rsidP="000A2B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A2B6B">
        <w:rPr>
          <w:rFonts w:ascii="Arial" w:hAnsi="Arial" w:cs="Arial"/>
          <w:sz w:val="20"/>
          <w:szCs w:val="20"/>
        </w:rPr>
        <w:t>Word count =</w:t>
      </w:r>
      <w:r w:rsidR="007663B8">
        <w:rPr>
          <w:rFonts w:ascii="Arial" w:hAnsi="Arial" w:cs="Arial"/>
          <w:sz w:val="20"/>
          <w:szCs w:val="20"/>
        </w:rPr>
        <w:t>294</w:t>
      </w:r>
      <w:bookmarkStart w:id="0" w:name="_GoBack"/>
      <w:bookmarkEnd w:id="0"/>
    </w:p>
    <w:p w:rsidR="000A2B6B" w:rsidRPr="000E3E5B" w:rsidRDefault="000A2B6B" w:rsidP="000A2B6B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0A2B6B" w:rsidRPr="000E3E5B" w:rsidSect="000E3E5B">
      <w:headerReference w:type="default" r:id="rId7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E5B" w:rsidRDefault="000E3E5B" w:rsidP="000E3E5B">
      <w:pPr>
        <w:spacing w:after="0" w:line="240" w:lineRule="auto"/>
      </w:pPr>
      <w:r>
        <w:separator/>
      </w:r>
    </w:p>
  </w:endnote>
  <w:endnote w:type="continuationSeparator" w:id="0">
    <w:p w:rsidR="000E3E5B" w:rsidRDefault="000E3E5B" w:rsidP="000E3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E5B" w:rsidRDefault="000E3E5B" w:rsidP="000E3E5B">
      <w:pPr>
        <w:spacing w:after="0" w:line="240" w:lineRule="auto"/>
      </w:pPr>
      <w:r>
        <w:separator/>
      </w:r>
    </w:p>
  </w:footnote>
  <w:footnote w:type="continuationSeparator" w:id="0">
    <w:p w:rsidR="000E3E5B" w:rsidRDefault="000E3E5B" w:rsidP="000E3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E5B" w:rsidRDefault="000E3E5B">
    <w:pPr>
      <w:pStyle w:val="Header"/>
    </w:pPr>
    <w:r>
      <w:rPr>
        <w:noProof/>
        <w:lang w:eastAsia="en-AU"/>
      </w:rPr>
      <w:drawing>
        <wp:inline distT="0" distB="0" distL="0" distR="0" wp14:anchorId="218FF6AA" wp14:editId="2AF6ABAE">
          <wp:extent cx="1985528" cy="690916"/>
          <wp:effectExtent l="0" t="0" r="0" b="0"/>
          <wp:docPr id="2" name="Picture 2" descr="M:\Events\Internal\RMA Conference\Logo\46683 RMA 2017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Events\Internal\RMA Conference\Logo\46683 RMA 2017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161" cy="6911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BB7"/>
    <w:rsid w:val="000A2B6B"/>
    <w:rsid w:val="000E3E5B"/>
    <w:rsid w:val="0011732E"/>
    <w:rsid w:val="001B4776"/>
    <w:rsid w:val="00257D58"/>
    <w:rsid w:val="002A5BB7"/>
    <w:rsid w:val="00724FA9"/>
    <w:rsid w:val="007663B8"/>
    <w:rsid w:val="00836C6D"/>
    <w:rsid w:val="009A034C"/>
    <w:rsid w:val="009A2006"/>
    <w:rsid w:val="009B017B"/>
    <w:rsid w:val="00C55F24"/>
    <w:rsid w:val="00F50C90"/>
    <w:rsid w:val="00F6035C"/>
    <w:rsid w:val="00FC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BAAA39-0C55-4C78-BAD5-37E0FFFA3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E5B"/>
  </w:style>
  <w:style w:type="paragraph" w:styleId="Footer">
    <w:name w:val="footer"/>
    <w:basedOn w:val="Normal"/>
    <w:link w:val="Foot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F6473-B342-4A23-B018-53E4BA5DC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ACRRM</Company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Lyssa Borham</dc:creator>
  <cp:lastModifiedBy>Gwenda Chapman</cp:lastModifiedBy>
  <cp:revision>2</cp:revision>
  <cp:lastPrinted>2017-02-15T03:53:00Z</cp:lastPrinted>
  <dcterms:created xsi:type="dcterms:W3CDTF">2017-06-29T03:14:00Z</dcterms:created>
  <dcterms:modified xsi:type="dcterms:W3CDTF">2017-06-29T03:14:00Z</dcterms:modified>
</cp:coreProperties>
</file>