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sidR="00E95B4C">
        <w:rPr>
          <w:rFonts w:ascii="Arial" w:hAnsi="Arial" w:cs="Arial"/>
          <w:b/>
          <w:sz w:val="20"/>
          <w:szCs w:val="20"/>
        </w:rPr>
        <w:t>Procedural Competency – what does the future hold?</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r w:rsidR="00E95B4C">
        <w:rPr>
          <w:rFonts w:ascii="Arial" w:hAnsi="Arial" w:cs="Arial"/>
          <w:sz w:val="20"/>
          <w:szCs w:val="20"/>
        </w:rPr>
        <w:t>High-r</w:t>
      </w:r>
      <w:r w:rsidR="00983A25">
        <w:rPr>
          <w:rFonts w:ascii="Arial" w:hAnsi="Arial" w:cs="Arial"/>
          <w:sz w:val="20"/>
          <w:szCs w:val="20"/>
        </w:rPr>
        <w:t>eliability</w:t>
      </w:r>
      <w:r w:rsidR="00E95B4C">
        <w:rPr>
          <w:rFonts w:ascii="Arial" w:hAnsi="Arial" w:cs="Arial"/>
          <w:sz w:val="20"/>
          <w:szCs w:val="20"/>
        </w:rPr>
        <w:t xml:space="preserve"> industries mitigate risk by minimising variation in practice to reduce the chance of error and misunderstanding.  Healthcare has struggled to adopt these principles, and evidence suggests that the rate of healthcare error remains unacceptably high.</w:t>
      </w:r>
    </w:p>
    <w:p w:rsidR="00E95B4C" w:rsidRDefault="00E95B4C" w:rsidP="002A5BB7">
      <w:pPr>
        <w:spacing w:after="0" w:line="240" w:lineRule="auto"/>
        <w:rPr>
          <w:rFonts w:ascii="Arial" w:hAnsi="Arial" w:cs="Arial"/>
          <w:sz w:val="20"/>
          <w:szCs w:val="20"/>
        </w:rPr>
      </w:pPr>
    </w:p>
    <w:p w:rsidR="005F0E06" w:rsidRDefault="005F0E06" w:rsidP="002A5BB7">
      <w:pPr>
        <w:spacing w:after="0" w:line="240" w:lineRule="auto"/>
        <w:rPr>
          <w:rFonts w:ascii="Arial" w:hAnsi="Arial" w:cs="Arial"/>
          <w:sz w:val="20"/>
          <w:szCs w:val="20"/>
        </w:rPr>
      </w:pPr>
      <w:r>
        <w:rPr>
          <w:rFonts w:ascii="Arial" w:hAnsi="Arial" w:cs="Arial"/>
          <w:sz w:val="20"/>
          <w:szCs w:val="20"/>
        </w:rPr>
        <w:t>Documentation of</w:t>
      </w:r>
      <w:r w:rsidR="00E95B4C">
        <w:rPr>
          <w:rFonts w:ascii="Arial" w:hAnsi="Arial" w:cs="Arial"/>
          <w:sz w:val="20"/>
          <w:szCs w:val="20"/>
        </w:rPr>
        <w:t xml:space="preserve"> competency and </w:t>
      </w:r>
      <w:r>
        <w:rPr>
          <w:rFonts w:ascii="Arial" w:hAnsi="Arial" w:cs="Arial"/>
          <w:sz w:val="20"/>
          <w:szCs w:val="20"/>
        </w:rPr>
        <w:t>accurate measurement</w:t>
      </w:r>
      <w:r w:rsidR="00E95B4C">
        <w:rPr>
          <w:rFonts w:ascii="Arial" w:hAnsi="Arial" w:cs="Arial"/>
          <w:sz w:val="20"/>
          <w:szCs w:val="20"/>
        </w:rPr>
        <w:t xml:space="preserve"> of outcomes and activity are staples of high-reliability organisations</w:t>
      </w:r>
      <w:r w:rsidR="00066749">
        <w:rPr>
          <w:rFonts w:ascii="Arial" w:hAnsi="Arial" w:cs="Arial"/>
          <w:sz w:val="20"/>
          <w:szCs w:val="20"/>
        </w:rPr>
        <w:t xml:space="preserve">.  Their workforces are constantly aware of their status in the quality improvement cycle, and scope of practice clearly defined.  </w:t>
      </w:r>
    </w:p>
    <w:p w:rsidR="005F0E06" w:rsidRDefault="005F0E06" w:rsidP="002A5BB7">
      <w:pPr>
        <w:spacing w:after="0" w:line="240" w:lineRule="auto"/>
        <w:rPr>
          <w:rFonts w:ascii="Arial" w:hAnsi="Arial" w:cs="Arial"/>
          <w:sz w:val="20"/>
          <w:szCs w:val="20"/>
        </w:rPr>
      </w:pPr>
    </w:p>
    <w:p w:rsidR="0069508A" w:rsidRDefault="005F0E06" w:rsidP="002A5BB7">
      <w:pPr>
        <w:spacing w:after="0" w:line="240" w:lineRule="auto"/>
        <w:rPr>
          <w:rFonts w:ascii="Arial" w:hAnsi="Arial" w:cs="Arial"/>
          <w:sz w:val="20"/>
          <w:szCs w:val="20"/>
        </w:rPr>
      </w:pPr>
      <w:r>
        <w:rPr>
          <w:rFonts w:ascii="Arial" w:hAnsi="Arial" w:cs="Arial"/>
          <w:sz w:val="20"/>
          <w:szCs w:val="20"/>
        </w:rPr>
        <w:t>On the surface, healthcare provides an excellent service</w:t>
      </w:r>
      <w:r w:rsidR="00E800E8">
        <w:rPr>
          <w:rFonts w:ascii="Arial" w:hAnsi="Arial" w:cs="Arial"/>
          <w:sz w:val="20"/>
          <w:szCs w:val="20"/>
        </w:rPr>
        <w:t>.  However, there is increasing focus on the issue of potentially preventable healthcare error.  One Australian report recently highlighted that up to 1 in 10 hospitalised patients suffer an unintended consequence of care, and half of these may be preventable [</w:t>
      </w:r>
      <w:proofErr w:type="spellStart"/>
      <w:r w:rsidR="00E800E8">
        <w:rPr>
          <w:rFonts w:ascii="Arial" w:hAnsi="Arial" w:cs="Arial"/>
          <w:sz w:val="20"/>
          <w:szCs w:val="20"/>
        </w:rPr>
        <w:t>Duckett</w:t>
      </w:r>
      <w:proofErr w:type="spellEnd"/>
      <w:r w:rsidR="00E800E8">
        <w:rPr>
          <w:rFonts w:ascii="Arial" w:hAnsi="Arial" w:cs="Arial"/>
          <w:sz w:val="20"/>
          <w:szCs w:val="20"/>
        </w:rPr>
        <w:t>].  Furthermore, up to 15% of an acute hospital budget may be spend on managing these complications.</w:t>
      </w:r>
    </w:p>
    <w:p w:rsidR="005F0E06" w:rsidRDefault="005F0E06" w:rsidP="002A5BB7">
      <w:pPr>
        <w:spacing w:after="0" w:line="240" w:lineRule="auto"/>
        <w:rPr>
          <w:rFonts w:ascii="Arial" w:hAnsi="Arial" w:cs="Arial"/>
          <w:sz w:val="20"/>
          <w:szCs w:val="20"/>
        </w:rPr>
      </w:pPr>
    </w:p>
    <w:p w:rsidR="0069508A" w:rsidRDefault="0069508A" w:rsidP="002A5BB7">
      <w:pPr>
        <w:spacing w:after="0" w:line="240" w:lineRule="auto"/>
        <w:rPr>
          <w:rFonts w:ascii="Arial" w:hAnsi="Arial" w:cs="Arial"/>
          <w:sz w:val="20"/>
          <w:szCs w:val="20"/>
        </w:rPr>
      </w:pPr>
      <w:r>
        <w:rPr>
          <w:rFonts w:ascii="Arial" w:hAnsi="Arial" w:cs="Arial"/>
          <w:sz w:val="20"/>
          <w:szCs w:val="20"/>
        </w:rPr>
        <w:t>There is a progressive movement towards a more robust system of governance, highlighted by the Medical Board of Australia’s review of options for revalidation.</w:t>
      </w:r>
    </w:p>
    <w:p w:rsidR="00066749" w:rsidRDefault="00066749" w:rsidP="002A5BB7">
      <w:pPr>
        <w:spacing w:after="0" w:line="240" w:lineRule="auto"/>
        <w:rPr>
          <w:rFonts w:ascii="Arial" w:hAnsi="Arial" w:cs="Arial"/>
          <w:sz w:val="20"/>
          <w:szCs w:val="20"/>
        </w:rPr>
      </w:pPr>
    </w:p>
    <w:p w:rsidR="00735F99" w:rsidRDefault="00735F99" w:rsidP="002A5BB7">
      <w:pPr>
        <w:spacing w:after="0" w:line="240" w:lineRule="auto"/>
        <w:rPr>
          <w:rFonts w:ascii="Arial" w:hAnsi="Arial" w:cs="Arial"/>
          <w:sz w:val="20"/>
          <w:szCs w:val="20"/>
        </w:rPr>
      </w:pPr>
      <w:r>
        <w:rPr>
          <w:rFonts w:ascii="Arial" w:hAnsi="Arial" w:cs="Arial"/>
          <w:sz w:val="20"/>
          <w:szCs w:val="20"/>
        </w:rPr>
        <w:t>For health to adopt these principles, significant challenges lie ahead.  Attempts to introduce competency based training and recertification have met both barriers and resistance.</w:t>
      </w:r>
    </w:p>
    <w:p w:rsidR="00846307" w:rsidRDefault="00846307" w:rsidP="002A5BB7">
      <w:pPr>
        <w:spacing w:after="0" w:line="240" w:lineRule="auto"/>
        <w:rPr>
          <w:rFonts w:ascii="Arial" w:hAnsi="Arial" w:cs="Arial"/>
          <w:sz w:val="20"/>
          <w:szCs w:val="20"/>
        </w:rPr>
      </w:pPr>
    </w:p>
    <w:p w:rsidR="00846307" w:rsidRDefault="00846307" w:rsidP="002A5BB7">
      <w:pPr>
        <w:spacing w:after="0" w:line="240" w:lineRule="auto"/>
        <w:rPr>
          <w:rFonts w:ascii="Arial" w:hAnsi="Arial" w:cs="Arial"/>
          <w:sz w:val="20"/>
          <w:szCs w:val="20"/>
        </w:rPr>
      </w:pPr>
      <w:r>
        <w:rPr>
          <w:rFonts w:ascii="Arial" w:hAnsi="Arial" w:cs="Arial"/>
          <w:sz w:val="20"/>
          <w:szCs w:val="20"/>
        </w:rPr>
        <w:t xml:space="preserve">Todd Fraser, founder of Osler and a practicing Intensivist / Retrieval Physician, will present the case for </w:t>
      </w:r>
      <w:r w:rsidR="00880A86">
        <w:rPr>
          <w:rFonts w:ascii="Arial" w:hAnsi="Arial" w:cs="Arial"/>
          <w:sz w:val="20"/>
          <w:szCs w:val="20"/>
        </w:rPr>
        <w:t>tightening governance processes around scope of practice and certification to perform high risk tasks and procedures.</w:t>
      </w:r>
    </w:p>
    <w:p w:rsidR="008A4192" w:rsidRDefault="008A4192" w:rsidP="002A5BB7">
      <w:pPr>
        <w:spacing w:after="0" w:line="240" w:lineRule="auto"/>
        <w:rPr>
          <w:rFonts w:ascii="Arial" w:hAnsi="Arial" w:cs="Arial"/>
          <w:sz w:val="20"/>
          <w:szCs w:val="20"/>
        </w:rPr>
      </w:pPr>
    </w:p>
    <w:p w:rsidR="00D46DA3" w:rsidRDefault="00D46DA3" w:rsidP="002A5BB7">
      <w:pPr>
        <w:spacing w:after="0" w:line="240" w:lineRule="auto"/>
        <w:rPr>
          <w:rFonts w:ascii="Arial" w:hAnsi="Arial" w:cs="Arial"/>
          <w:i/>
          <w:sz w:val="20"/>
          <w:szCs w:val="20"/>
        </w:rPr>
      </w:pPr>
      <w:r>
        <w:rPr>
          <w:rFonts w:ascii="Arial" w:hAnsi="Arial" w:cs="Arial"/>
          <w:i/>
          <w:sz w:val="20"/>
          <w:szCs w:val="20"/>
        </w:rPr>
        <w:t>Authors Notes</w:t>
      </w:r>
    </w:p>
    <w:p w:rsidR="00D46DA3" w:rsidRDefault="00D46DA3" w:rsidP="002A5BB7">
      <w:pPr>
        <w:spacing w:after="0" w:line="240" w:lineRule="auto"/>
        <w:rPr>
          <w:rFonts w:ascii="Arial" w:hAnsi="Arial" w:cs="Arial"/>
          <w:i/>
          <w:sz w:val="20"/>
          <w:szCs w:val="20"/>
        </w:rPr>
      </w:pPr>
    </w:p>
    <w:p w:rsidR="008A4192" w:rsidRPr="00D46DA3" w:rsidRDefault="008A4192" w:rsidP="002A5BB7">
      <w:pPr>
        <w:spacing w:after="0" w:line="240" w:lineRule="auto"/>
        <w:rPr>
          <w:rFonts w:ascii="Arial" w:hAnsi="Arial" w:cs="Arial"/>
          <w:i/>
          <w:sz w:val="20"/>
          <w:szCs w:val="20"/>
        </w:rPr>
      </w:pPr>
      <w:r w:rsidRPr="00D46DA3">
        <w:rPr>
          <w:rFonts w:ascii="Arial" w:hAnsi="Arial" w:cs="Arial"/>
          <w:i/>
          <w:sz w:val="20"/>
          <w:szCs w:val="20"/>
        </w:rPr>
        <w:t xml:space="preserve">Osler </w:t>
      </w:r>
      <w:r w:rsidR="00880A86" w:rsidRPr="00D46DA3">
        <w:rPr>
          <w:rFonts w:ascii="Arial" w:hAnsi="Arial" w:cs="Arial"/>
          <w:i/>
          <w:sz w:val="20"/>
          <w:szCs w:val="20"/>
        </w:rPr>
        <w:t>is</w:t>
      </w:r>
      <w:r w:rsidRPr="00D46DA3">
        <w:rPr>
          <w:rFonts w:ascii="Arial" w:hAnsi="Arial" w:cs="Arial"/>
          <w:i/>
          <w:sz w:val="20"/>
          <w:szCs w:val="20"/>
        </w:rPr>
        <w:t xml:space="preserve"> a cloud-based application to allow clinicians to monitor their own activity, outcomes and training history.</w:t>
      </w:r>
    </w:p>
    <w:p w:rsidR="00D46DA3" w:rsidRPr="00D46DA3" w:rsidRDefault="00D46DA3" w:rsidP="002A5BB7">
      <w:pPr>
        <w:spacing w:after="0" w:line="240" w:lineRule="auto"/>
        <w:rPr>
          <w:rFonts w:ascii="Arial" w:hAnsi="Arial" w:cs="Arial"/>
          <w:i/>
          <w:sz w:val="20"/>
          <w:szCs w:val="20"/>
        </w:rPr>
      </w:pPr>
    </w:p>
    <w:p w:rsidR="00D46DA3" w:rsidRPr="00D46DA3" w:rsidRDefault="00D46DA3" w:rsidP="00D46DA3">
      <w:pPr>
        <w:rPr>
          <w:rFonts w:eastAsia="Times New Roman"/>
          <w:i/>
        </w:rPr>
      </w:pPr>
      <w:r w:rsidRPr="00D46DA3">
        <w:rPr>
          <w:rFonts w:eastAsia="Times New Roman"/>
          <w:i/>
        </w:rPr>
        <w:t>Osler is a platform that I have developed, and is now a commercial entity.  My intent is to discuss the problem that Osler is trying to address, and refer to how solutions like Osler can help address it, I don’t plan to talk specifically about Osler.</w:t>
      </w:r>
      <w:bookmarkStart w:id="0" w:name="_GoBack"/>
      <w:bookmarkEnd w:id="0"/>
    </w:p>
    <w:p w:rsidR="00D46DA3" w:rsidRPr="00D46DA3" w:rsidRDefault="00D46DA3" w:rsidP="00D46DA3">
      <w:pPr>
        <w:rPr>
          <w:rFonts w:eastAsia="Times New Roman"/>
          <w:i/>
        </w:rPr>
      </w:pPr>
      <w:r w:rsidRPr="00D46DA3">
        <w:rPr>
          <w:rFonts w:eastAsia="Times New Roman"/>
          <w:i/>
        </w:rPr>
        <w:t>If they need further guidance on my talk, it might be worth looking at a previous talk I did - </w:t>
      </w:r>
      <w:hyperlink r:id="rId8" w:history="1">
        <w:r w:rsidRPr="00D46DA3">
          <w:rPr>
            <w:rStyle w:val="Hyperlink"/>
            <w:rFonts w:eastAsia="Times New Roman"/>
            <w:i/>
          </w:rPr>
          <w:t>https://youtu.be/tOA4mmCK2O0</w:t>
        </w:r>
      </w:hyperlink>
    </w:p>
    <w:p w:rsidR="00D46DA3" w:rsidRDefault="00D46DA3" w:rsidP="002A5BB7">
      <w:pPr>
        <w:spacing w:after="0" w:line="240" w:lineRule="auto"/>
        <w:rPr>
          <w:rFonts w:ascii="Arial" w:hAnsi="Arial" w:cs="Arial"/>
          <w:sz w:val="20"/>
          <w:szCs w:val="20"/>
        </w:rPr>
      </w:pPr>
    </w:p>
    <w:p w:rsidR="008A4192" w:rsidRDefault="008A4192" w:rsidP="002A5BB7">
      <w:pPr>
        <w:spacing w:after="0" w:line="240" w:lineRule="auto"/>
        <w:rPr>
          <w:rFonts w:ascii="Arial" w:hAnsi="Arial" w:cs="Arial"/>
          <w:sz w:val="20"/>
          <w:szCs w:val="20"/>
        </w:rPr>
      </w:pP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3D6" w:rsidRDefault="004633D6" w:rsidP="000E3E5B">
      <w:pPr>
        <w:spacing w:after="0" w:line="240" w:lineRule="auto"/>
      </w:pPr>
      <w:r>
        <w:separator/>
      </w:r>
    </w:p>
  </w:endnote>
  <w:endnote w:type="continuationSeparator" w:id="0">
    <w:p w:rsidR="004633D6" w:rsidRDefault="004633D6"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3D6" w:rsidRDefault="004633D6" w:rsidP="000E3E5B">
      <w:pPr>
        <w:spacing w:after="0" w:line="240" w:lineRule="auto"/>
      </w:pPr>
      <w:r>
        <w:separator/>
      </w:r>
    </w:p>
  </w:footnote>
  <w:footnote w:type="continuationSeparator" w:id="0">
    <w:p w:rsidR="004633D6" w:rsidRDefault="004633D6"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5CEAC1B" wp14:editId="04AD3CB6">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66749"/>
    <w:rsid w:val="000E3E5B"/>
    <w:rsid w:val="0011732E"/>
    <w:rsid w:val="001B4B48"/>
    <w:rsid w:val="00257D58"/>
    <w:rsid w:val="002A5BB7"/>
    <w:rsid w:val="004633D6"/>
    <w:rsid w:val="005F0E06"/>
    <w:rsid w:val="0069508A"/>
    <w:rsid w:val="00724FA9"/>
    <w:rsid w:val="00735F99"/>
    <w:rsid w:val="00836C6D"/>
    <w:rsid w:val="00846307"/>
    <w:rsid w:val="00880A86"/>
    <w:rsid w:val="00880F55"/>
    <w:rsid w:val="008A4192"/>
    <w:rsid w:val="00983A25"/>
    <w:rsid w:val="009A034C"/>
    <w:rsid w:val="009B017B"/>
    <w:rsid w:val="009E4615"/>
    <w:rsid w:val="00D46DA3"/>
    <w:rsid w:val="00E800E8"/>
    <w:rsid w:val="00E95B4C"/>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styleId="Hyperlink">
    <w:name w:val="Hyperlink"/>
    <w:basedOn w:val="DefaultParagraphFont"/>
    <w:uiPriority w:val="99"/>
    <w:semiHidden/>
    <w:unhideWhenUsed/>
    <w:rsid w:val="00D46D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styleId="Hyperlink">
    <w:name w:val="Hyperlink"/>
    <w:basedOn w:val="DefaultParagraphFont"/>
    <w:uiPriority w:val="99"/>
    <w:semiHidden/>
    <w:unhideWhenUsed/>
    <w:rsid w:val="00D46D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18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OA4mmCK2O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DC079-454D-4101-9352-0728F132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Raye Picoto</cp:lastModifiedBy>
  <cp:revision>2</cp:revision>
  <cp:lastPrinted>2017-02-15T03:53:00Z</cp:lastPrinted>
  <dcterms:created xsi:type="dcterms:W3CDTF">2017-08-14T09:01:00Z</dcterms:created>
  <dcterms:modified xsi:type="dcterms:W3CDTF">2017-08-14T09:01:00Z</dcterms:modified>
</cp:coreProperties>
</file>