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Pr="009A034C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</w:p>
    <w:p w:rsidR="002A5BB7" w:rsidRDefault="006F2D39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Clinical Workshop </w:t>
      </w:r>
      <w:r w:rsidR="008D4662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D4662">
        <w:rPr>
          <w:rFonts w:ascii="Arial" w:hAnsi="Arial" w:cs="Arial"/>
          <w:b/>
          <w:sz w:val="20"/>
          <w:szCs w:val="20"/>
        </w:rPr>
        <w:t>Comprehensive assessment in knee osteoarthritis</w:t>
      </w:r>
      <w:r w:rsidR="00D556AB">
        <w:rPr>
          <w:rFonts w:ascii="Arial" w:hAnsi="Arial" w:cs="Arial"/>
          <w:b/>
          <w:sz w:val="20"/>
          <w:szCs w:val="20"/>
        </w:rPr>
        <w:t xml:space="preserve"> </w:t>
      </w:r>
      <w:r w:rsidR="000D23DC">
        <w:rPr>
          <w:rFonts w:ascii="Arial" w:hAnsi="Arial" w:cs="Arial"/>
          <w:b/>
          <w:sz w:val="20"/>
          <w:szCs w:val="20"/>
        </w:rPr>
        <w:t xml:space="preserve">- diagnosis and treatment </w:t>
      </w:r>
      <w:r w:rsidR="00017FBE">
        <w:rPr>
          <w:rFonts w:ascii="Arial" w:hAnsi="Arial" w:cs="Arial"/>
          <w:b/>
          <w:sz w:val="20"/>
          <w:szCs w:val="20"/>
        </w:rPr>
        <w:t>in primary care</w:t>
      </w:r>
      <w:bookmarkStart w:id="0" w:name="_GoBack"/>
      <w:bookmarkEnd w:id="0"/>
      <w:r w:rsidR="000D23DC">
        <w:rPr>
          <w:rFonts w:ascii="Arial" w:hAnsi="Arial" w:cs="Arial"/>
          <w:b/>
          <w:sz w:val="20"/>
          <w:szCs w:val="20"/>
        </w:rPr>
        <w:t xml:space="preserve"> </w:t>
      </w:r>
    </w:p>
    <w:p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:rsidR="0011732E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266DA" w:rsidRPr="008D4662" w:rsidRDefault="00A266DA" w:rsidP="00A266DA">
      <w:pPr>
        <w:spacing w:after="120"/>
        <w:rPr>
          <w:rFonts w:ascii="Arial" w:hAnsi="Arial" w:cs="Arial"/>
          <w:sz w:val="20"/>
          <w:szCs w:val="20"/>
          <w:lang w:eastAsia="en-AU"/>
        </w:rPr>
      </w:pPr>
      <w:r w:rsidRPr="008D4662">
        <w:rPr>
          <w:rFonts w:ascii="Arial" w:hAnsi="Arial" w:cs="Arial"/>
          <w:sz w:val="20"/>
          <w:szCs w:val="20"/>
          <w:lang w:eastAsia="en-AU"/>
        </w:rPr>
        <w:t>Since 2002, osteoarthritis has been recognised as a National Health Priority Area in Australia.</w:t>
      </w:r>
      <w:r w:rsidR="00CE6D14">
        <w:rPr>
          <w:rStyle w:val="FootnoteReference"/>
          <w:rFonts w:ascii="Arial" w:hAnsi="Arial" w:cs="Arial"/>
          <w:sz w:val="20"/>
          <w:szCs w:val="20"/>
          <w:lang w:eastAsia="en-AU"/>
        </w:rPr>
        <w:footnoteReference w:id="1"/>
      </w:r>
      <w:r w:rsidR="00CE6D14">
        <w:rPr>
          <w:rFonts w:ascii="Arial" w:hAnsi="Arial" w:cs="Arial"/>
          <w:sz w:val="20"/>
          <w:szCs w:val="20"/>
          <w:lang w:eastAsia="en-AU"/>
        </w:rPr>
        <w:t xml:space="preserve"> </w:t>
      </w:r>
      <w:r w:rsidRPr="008D4662">
        <w:rPr>
          <w:rFonts w:ascii="Arial" w:hAnsi="Arial" w:cs="Arial"/>
          <w:sz w:val="20"/>
          <w:szCs w:val="20"/>
          <w:lang w:eastAsia="en-AU"/>
        </w:rPr>
        <w:t xml:space="preserve">About </w:t>
      </w:r>
      <w:r w:rsidR="00EC289E">
        <w:rPr>
          <w:rFonts w:ascii="Arial" w:hAnsi="Arial" w:cs="Arial"/>
          <w:sz w:val="20"/>
          <w:szCs w:val="20"/>
          <w:lang w:eastAsia="en-AU"/>
        </w:rPr>
        <w:t>2.1 million</w:t>
      </w:r>
      <w:r w:rsidRPr="008D4662">
        <w:rPr>
          <w:rFonts w:ascii="Arial" w:hAnsi="Arial" w:cs="Arial"/>
          <w:sz w:val="20"/>
          <w:szCs w:val="20"/>
          <w:lang w:eastAsia="en-AU"/>
        </w:rPr>
        <w:t xml:space="preserve"> Australians </w:t>
      </w:r>
      <w:r w:rsidR="00EC289E">
        <w:rPr>
          <w:rFonts w:ascii="Arial" w:hAnsi="Arial" w:cs="Arial"/>
          <w:sz w:val="20"/>
          <w:szCs w:val="20"/>
          <w:lang w:eastAsia="en-AU"/>
        </w:rPr>
        <w:t xml:space="preserve">have </w:t>
      </w:r>
      <w:r w:rsidRPr="008D4662">
        <w:rPr>
          <w:rFonts w:ascii="Arial" w:hAnsi="Arial" w:cs="Arial"/>
          <w:sz w:val="20"/>
          <w:szCs w:val="20"/>
          <w:lang w:eastAsia="en-AU"/>
        </w:rPr>
        <w:t>osteoarthritis</w:t>
      </w:r>
      <w:r w:rsidR="00EC289E">
        <w:rPr>
          <w:rFonts w:ascii="Arial" w:hAnsi="Arial" w:cs="Arial"/>
          <w:sz w:val="20"/>
          <w:szCs w:val="20"/>
          <w:lang w:eastAsia="en-AU"/>
        </w:rPr>
        <w:t>, with 25%-40% of cases relating to knee osteoarthritis</w:t>
      </w:r>
      <w:r w:rsidRPr="008D4662">
        <w:rPr>
          <w:rFonts w:ascii="Arial" w:hAnsi="Arial" w:cs="Arial"/>
          <w:sz w:val="20"/>
          <w:szCs w:val="20"/>
          <w:lang w:eastAsia="en-AU"/>
        </w:rPr>
        <w:t>.</w:t>
      </w:r>
      <w:r w:rsidR="00EC289E">
        <w:rPr>
          <w:rStyle w:val="FootnoteReference"/>
          <w:rFonts w:ascii="Arial" w:hAnsi="Arial" w:cs="Arial"/>
          <w:sz w:val="20"/>
          <w:szCs w:val="20"/>
          <w:lang w:eastAsia="en-AU"/>
        </w:rPr>
        <w:footnoteReference w:id="2"/>
      </w:r>
      <w:r>
        <w:rPr>
          <w:rFonts w:ascii="Arial" w:hAnsi="Arial" w:cs="Arial"/>
          <w:sz w:val="20"/>
          <w:szCs w:val="20"/>
          <w:lang w:eastAsia="en-AU"/>
        </w:rPr>
        <w:t xml:space="preserve"> </w:t>
      </w:r>
      <w:r w:rsidRPr="008D4662">
        <w:rPr>
          <w:rFonts w:ascii="Arial" w:hAnsi="Arial" w:cs="Arial"/>
          <w:sz w:val="20"/>
          <w:szCs w:val="20"/>
          <w:lang w:eastAsia="en-AU"/>
        </w:rPr>
        <w:t xml:space="preserve">Despite the disease burden </w:t>
      </w:r>
      <w:r w:rsidR="00AF3A0D">
        <w:rPr>
          <w:rFonts w:ascii="Arial" w:hAnsi="Arial" w:cs="Arial"/>
          <w:sz w:val="20"/>
          <w:szCs w:val="20"/>
          <w:lang w:eastAsia="en-AU"/>
        </w:rPr>
        <w:t>of</w:t>
      </w:r>
      <w:r w:rsidRPr="008D4662">
        <w:rPr>
          <w:rFonts w:ascii="Arial" w:hAnsi="Arial" w:cs="Arial"/>
          <w:sz w:val="20"/>
          <w:szCs w:val="20"/>
          <w:lang w:eastAsia="en-AU"/>
        </w:rPr>
        <w:t xml:space="preserve"> th</w:t>
      </w:r>
      <w:r>
        <w:rPr>
          <w:rFonts w:ascii="Arial" w:hAnsi="Arial" w:cs="Arial"/>
          <w:sz w:val="20"/>
          <w:szCs w:val="20"/>
          <w:lang w:eastAsia="en-AU"/>
        </w:rPr>
        <w:t>e</w:t>
      </w:r>
      <w:r w:rsidRPr="008D4662">
        <w:rPr>
          <w:rFonts w:ascii="Arial" w:hAnsi="Arial" w:cs="Arial"/>
          <w:sz w:val="20"/>
          <w:szCs w:val="20"/>
          <w:lang w:eastAsia="en-AU"/>
        </w:rPr>
        <w:t xml:space="preserve"> condition</w:t>
      </w:r>
      <w:r>
        <w:rPr>
          <w:rFonts w:ascii="Arial" w:hAnsi="Arial" w:cs="Arial"/>
          <w:sz w:val="20"/>
          <w:szCs w:val="20"/>
          <w:lang w:eastAsia="en-AU"/>
        </w:rPr>
        <w:t>,</w:t>
      </w:r>
      <w:r w:rsidRPr="008D4662">
        <w:rPr>
          <w:rFonts w:ascii="Arial" w:hAnsi="Arial" w:cs="Arial"/>
          <w:sz w:val="20"/>
          <w:szCs w:val="20"/>
          <w:lang w:eastAsia="en-AU"/>
        </w:rPr>
        <w:t xml:space="preserve"> </w:t>
      </w:r>
      <w:r>
        <w:rPr>
          <w:rFonts w:ascii="Arial" w:hAnsi="Arial" w:cs="Arial"/>
          <w:sz w:val="20"/>
          <w:szCs w:val="20"/>
          <w:lang w:eastAsia="en-AU"/>
        </w:rPr>
        <w:t>rates of</w:t>
      </w:r>
      <w:r w:rsidRPr="008D4662">
        <w:rPr>
          <w:rFonts w:ascii="Arial" w:hAnsi="Arial" w:cs="Arial"/>
          <w:sz w:val="20"/>
          <w:szCs w:val="20"/>
          <w:lang w:eastAsia="en-AU"/>
        </w:rPr>
        <w:t xml:space="preserve"> osteoarthritis continue to rise. </w:t>
      </w:r>
      <w:r w:rsidR="00C126A0">
        <w:rPr>
          <w:rFonts w:ascii="Arial" w:hAnsi="Arial" w:cs="Arial"/>
          <w:sz w:val="20"/>
          <w:szCs w:val="20"/>
          <w:lang w:eastAsia="en-AU"/>
        </w:rPr>
        <w:t xml:space="preserve">Australians in regional and rural areas have a slightly higher prevalence of the condition than </w:t>
      </w:r>
      <w:r w:rsidR="00AF3A0D">
        <w:rPr>
          <w:rFonts w:ascii="Arial" w:hAnsi="Arial" w:cs="Arial"/>
          <w:sz w:val="20"/>
          <w:szCs w:val="20"/>
          <w:lang w:eastAsia="en-AU"/>
        </w:rPr>
        <w:t>people</w:t>
      </w:r>
      <w:r w:rsidR="00C126A0">
        <w:rPr>
          <w:rFonts w:ascii="Arial" w:hAnsi="Arial" w:cs="Arial"/>
          <w:sz w:val="20"/>
          <w:szCs w:val="20"/>
          <w:lang w:eastAsia="en-AU"/>
        </w:rPr>
        <w:t xml:space="preserve"> in major cities.</w:t>
      </w:r>
      <w:r w:rsidR="00C126A0">
        <w:rPr>
          <w:rStyle w:val="FootnoteReference"/>
          <w:rFonts w:ascii="Arial" w:hAnsi="Arial" w:cs="Arial"/>
          <w:sz w:val="20"/>
          <w:szCs w:val="20"/>
          <w:lang w:eastAsia="en-AU"/>
        </w:rPr>
        <w:footnoteReference w:id="3"/>
      </w:r>
      <w:r w:rsidR="00C126A0">
        <w:rPr>
          <w:rFonts w:ascii="Arial" w:hAnsi="Arial" w:cs="Arial"/>
          <w:sz w:val="20"/>
          <w:szCs w:val="20"/>
          <w:lang w:eastAsia="en-AU"/>
        </w:rPr>
        <w:t xml:space="preserve"> </w:t>
      </w:r>
      <w:r w:rsidRPr="008D4662">
        <w:rPr>
          <w:rFonts w:ascii="Arial" w:hAnsi="Arial" w:cs="Arial"/>
          <w:sz w:val="20"/>
          <w:szCs w:val="20"/>
          <w:lang w:eastAsia="en-AU"/>
        </w:rPr>
        <w:t xml:space="preserve">Improving population health through public </w:t>
      </w:r>
      <w:r>
        <w:rPr>
          <w:rFonts w:ascii="Arial" w:hAnsi="Arial" w:cs="Arial"/>
          <w:sz w:val="20"/>
          <w:szCs w:val="20"/>
          <w:lang w:eastAsia="en-AU"/>
        </w:rPr>
        <w:t>education and</w:t>
      </w:r>
      <w:r w:rsidRPr="008D4662">
        <w:rPr>
          <w:rFonts w:ascii="Arial" w:hAnsi="Arial" w:cs="Arial"/>
          <w:sz w:val="20"/>
          <w:szCs w:val="20"/>
          <w:lang w:eastAsia="en-AU"/>
        </w:rPr>
        <w:t xml:space="preserve"> closing gaps in clinical practice are important strategies to </w:t>
      </w:r>
      <w:r>
        <w:rPr>
          <w:rFonts w:ascii="Arial" w:hAnsi="Arial" w:cs="Arial"/>
          <w:sz w:val="20"/>
          <w:szCs w:val="20"/>
          <w:lang w:eastAsia="en-AU"/>
        </w:rPr>
        <w:t>reduce the impact of osteoarthritis</w:t>
      </w:r>
      <w:r w:rsidRPr="008D4662">
        <w:rPr>
          <w:rFonts w:ascii="Arial" w:hAnsi="Arial" w:cs="Arial"/>
          <w:sz w:val="20"/>
          <w:szCs w:val="20"/>
          <w:lang w:eastAsia="en-AU"/>
        </w:rPr>
        <w:t xml:space="preserve">. </w:t>
      </w:r>
      <w:r>
        <w:rPr>
          <w:rFonts w:ascii="Arial" w:hAnsi="Arial" w:cs="Arial"/>
          <w:sz w:val="20"/>
          <w:szCs w:val="20"/>
          <w:lang w:eastAsia="en-AU"/>
        </w:rPr>
        <w:t xml:space="preserve"> </w:t>
      </w:r>
    </w:p>
    <w:p w:rsidR="00670C70" w:rsidRDefault="004F11CB" w:rsidP="00C836D8">
      <w:pPr>
        <w:spacing w:after="0" w:line="240" w:lineRule="auto"/>
        <w:rPr>
          <w:rFonts w:ascii="Arial" w:hAnsi="Arial" w:cs="Arial"/>
          <w:sz w:val="20"/>
          <w:szCs w:val="20"/>
          <w:lang w:eastAsia="en-AU"/>
        </w:rPr>
      </w:pPr>
      <w:r w:rsidRPr="006F2D39">
        <w:rPr>
          <w:rFonts w:ascii="Arial" w:hAnsi="Arial" w:cs="Arial"/>
          <w:sz w:val="20"/>
          <w:szCs w:val="20"/>
        </w:rPr>
        <w:t xml:space="preserve">The Australian Commission on Safety and Quality in Health Care </w:t>
      </w:r>
      <w:r w:rsidR="00BF3647">
        <w:rPr>
          <w:rFonts w:ascii="Arial" w:hAnsi="Arial" w:cs="Arial"/>
          <w:sz w:val="20"/>
          <w:szCs w:val="20"/>
        </w:rPr>
        <w:t xml:space="preserve">(the Commission) </w:t>
      </w:r>
      <w:r w:rsidR="008D4662">
        <w:rPr>
          <w:rFonts w:ascii="Arial" w:hAnsi="Arial" w:cs="Arial"/>
          <w:sz w:val="20"/>
          <w:szCs w:val="20"/>
        </w:rPr>
        <w:t>released its</w:t>
      </w:r>
      <w:r w:rsidR="00236217" w:rsidRPr="006F2D39">
        <w:rPr>
          <w:rFonts w:ascii="Arial" w:hAnsi="Arial" w:cs="Arial"/>
          <w:sz w:val="20"/>
          <w:szCs w:val="20"/>
        </w:rPr>
        <w:t xml:space="preserve"> </w:t>
      </w:r>
      <w:r w:rsidR="008D4662" w:rsidRPr="00EC289E">
        <w:rPr>
          <w:rFonts w:ascii="Arial" w:hAnsi="Arial" w:cs="Arial"/>
          <w:i/>
          <w:sz w:val="20"/>
          <w:szCs w:val="20"/>
        </w:rPr>
        <w:t>Osteoarthritis of the Knee</w:t>
      </w:r>
      <w:r w:rsidR="00236217" w:rsidRPr="00EC289E">
        <w:rPr>
          <w:rFonts w:ascii="Arial" w:hAnsi="Arial" w:cs="Arial"/>
          <w:i/>
          <w:sz w:val="20"/>
          <w:szCs w:val="20"/>
        </w:rPr>
        <w:t xml:space="preserve"> Clinical Care Standard</w:t>
      </w:r>
      <w:r w:rsidR="00236217" w:rsidRPr="006F2D39">
        <w:rPr>
          <w:rFonts w:ascii="Arial" w:hAnsi="Arial" w:cs="Arial"/>
          <w:sz w:val="20"/>
          <w:szCs w:val="20"/>
        </w:rPr>
        <w:t xml:space="preserve"> </w:t>
      </w:r>
      <w:r w:rsidR="008D4662">
        <w:rPr>
          <w:rFonts w:ascii="Arial" w:hAnsi="Arial" w:cs="Arial"/>
          <w:sz w:val="20"/>
          <w:szCs w:val="20"/>
        </w:rPr>
        <w:t>in May 2017</w:t>
      </w:r>
      <w:r w:rsidR="00236217" w:rsidRPr="006F2D39">
        <w:rPr>
          <w:rFonts w:ascii="Arial" w:hAnsi="Arial" w:cs="Arial"/>
          <w:sz w:val="20"/>
          <w:szCs w:val="20"/>
        </w:rPr>
        <w:t>.</w:t>
      </w:r>
      <w:r w:rsidR="00EC289E">
        <w:rPr>
          <w:rStyle w:val="FootnoteReference"/>
          <w:rFonts w:ascii="Arial" w:hAnsi="Arial" w:cs="Arial"/>
          <w:sz w:val="20"/>
          <w:szCs w:val="20"/>
        </w:rPr>
        <w:footnoteReference w:id="4"/>
      </w:r>
      <w:r w:rsidR="00314D6F">
        <w:rPr>
          <w:rFonts w:ascii="Arial" w:hAnsi="Arial" w:cs="Arial"/>
          <w:sz w:val="20"/>
          <w:szCs w:val="20"/>
        </w:rPr>
        <w:t xml:space="preserve"> </w:t>
      </w:r>
      <w:r w:rsidR="00C836D8">
        <w:rPr>
          <w:rFonts w:ascii="Arial" w:hAnsi="Arial" w:cs="Arial"/>
          <w:sz w:val="20"/>
          <w:szCs w:val="20"/>
        </w:rPr>
        <w:t xml:space="preserve"> </w:t>
      </w:r>
      <w:r w:rsidR="00670C70">
        <w:rPr>
          <w:rFonts w:ascii="Arial" w:hAnsi="Arial" w:cs="Arial"/>
          <w:sz w:val="20"/>
          <w:szCs w:val="20"/>
          <w:lang w:eastAsia="en-AU"/>
        </w:rPr>
        <w:t xml:space="preserve">A review of evidence to inform the </w:t>
      </w:r>
      <w:r w:rsidR="00AF3A0D">
        <w:rPr>
          <w:rFonts w:ascii="Arial" w:hAnsi="Arial" w:cs="Arial"/>
          <w:sz w:val="20"/>
          <w:szCs w:val="20"/>
        </w:rPr>
        <w:t>development of the</w:t>
      </w:r>
      <w:r w:rsidR="00A266DA" w:rsidRPr="006F2D39">
        <w:rPr>
          <w:rFonts w:ascii="Arial" w:hAnsi="Arial" w:cs="Arial"/>
          <w:sz w:val="20"/>
          <w:szCs w:val="20"/>
        </w:rPr>
        <w:t xml:space="preserve"> </w:t>
      </w:r>
      <w:r w:rsidR="00AF3A0D">
        <w:rPr>
          <w:rFonts w:ascii="Arial" w:hAnsi="Arial" w:cs="Arial"/>
          <w:sz w:val="20"/>
          <w:szCs w:val="20"/>
        </w:rPr>
        <w:t>s</w:t>
      </w:r>
      <w:r w:rsidR="00A266DA" w:rsidRPr="006F2D39">
        <w:rPr>
          <w:rFonts w:ascii="Arial" w:hAnsi="Arial" w:cs="Arial"/>
          <w:sz w:val="20"/>
          <w:szCs w:val="20"/>
        </w:rPr>
        <w:t>tandard</w:t>
      </w:r>
      <w:r w:rsidR="00A266DA">
        <w:rPr>
          <w:rFonts w:ascii="Arial" w:hAnsi="Arial" w:cs="Arial"/>
          <w:sz w:val="20"/>
          <w:szCs w:val="20"/>
          <w:lang w:eastAsia="en-AU"/>
        </w:rPr>
        <w:t xml:space="preserve"> </w:t>
      </w:r>
      <w:r w:rsidR="00670C70">
        <w:rPr>
          <w:rFonts w:ascii="Arial" w:hAnsi="Arial" w:cs="Arial"/>
          <w:sz w:val="20"/>
          <w:szCs w:val="20"/>
          <w:lang w:eastAsia="en-AU"/>
        </w:rPr>
        <w:t>showed that:</w:t>
      </w:r>
    </w:p>
    <w:p w:rsidR="00C836D8" w:rsidRDefault="00C836D8" w:rsidP="00C836D8">
      <w:pPr>
        <w:spacing w:after="0" w:line="240" w:lineRule="auto"/>
        <w:rPr>
          <w:rFonts w:ascii="Arial" w:hAnsi="Arial" w:cs="Arial"/>
          <w:sz w:val="20"/>
          <w:szCs w:val="20"/>
          <w:lang w:eastAsia="en-AU"/>
        </w:rPr>
      </w:pPr>
    </w:p>
    <w:p w:rsidR="00670C70" w:rsidRPr="00670C70" w:rsidRDefault="00670C70" w:rsidP="00670C70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sz w:val="20"/>
          <w:szCs w:val="20"/>
          <w:lang w:eastAsia="en-AU"/>
        </w:rPr>
      </w:pPr>
      <w:r w:rsidRPr="00670C70">
        <w:rPr>
          <w:rFonts w:ascii="Arial" w:hAnsi="Arial" w:cs="Arial"/>
          <w:sz w:val="20"/>
          <w:szCs w:val="20"/>
          <w:lang w:val="en-US" w:eastAsia="en-AU"/>
        </w:rPr>
        <w:t>Many patients have unnecessary X-rays and MRIs to diagnose the condition.</w:t>
      </w:r>
      <w:r w:rsidR="00EC289E">
        <w:rPr>
          <w:rStyle w:val="FootnoteReference"/>
          <w:rFonts w:ascii="Arial" w:hAnsi="Arial" w:cs="Arial"/>
          <w:sz w:val="20"/>
          <w:szCs w:val="20"/>
          <w:lang w:val="en-US" w:eastAsia="en-AU"/>
        </w:rPr>
        <w:footnoteReference w:id="5"/>
      </w:r>
      <w:r w:rsidR="00EC289E" w:rsidRPr="00EC289E">
        <w:rPr>
          <w:rFonts w:ascii="Arial" w:hAnsi="Arial" w:cs="Arial"/>
          <w:sz w:val="20"/>
          <w:szCs w:val="20"/>
          <w:vertAlign w:val="superscript"/>
          <w:lang w:val="en-US" w:eastAsia="en-AU"/>
        </w:rPr>
        <w:t>,</w:t>
      </w:r>
      <w:r w:rsidR="00EC289E">
        <w:rPr>
          <w:rStyle w:val="FootnoteReference"/>
          <w:rFonts w:ascii="Arial" w:hAnsi="Arial" w:cs="Arial"/>
          <w:sz w:val="20"/>
          <w:szCs w:val="20"/>
          <w:lang w:val="en-US" w:eastAsia="en-AU"/>
        </w:rPr>
        <w:footnoteReference w:id="6"/>
      </w:r>
    </w:p>
    <w:p w:rsidR="00670C70" w:rsidRDefault="00670C70" w:rsidP="00670C70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 xml:space="preserve">There is a </w:t>
      </w:r>
      <w:r w:rsidR="008D4662" w:rsidRPr="00670C70">
        <w:rPr>
          <w:rFonts w:ascii="Arial" w:hAnsi="Arial" w:cs="Arial"/>
          <w:sz w:val="20"/>
          <w:szCs w:val="20"/>
          <w:lang w:eastAsia="en-AU"/>
        </w:rPr>
        <w:t xml:space="preserve">four-fold variation in knee arthroscopy use in people over 55 across Australia, after exclusion of </w:t>
      </w:r>
      <w:r w:rsidRPr="00670C70">
        <w:rPr>
          <w:rFonts w:ascii="Arial" w:hAnsi="Arial" w:cs="Arial"/>
          <w:sz w:val="20"/>
          <w:szCs w:val="20"/>
          <w:lang w:eastAsia="en-AU"/>
        </w:rPr>
        <w:t>highest and lowest rate areas</w:t>
      </w:r>
      <w:r>
        <w:rPr>
          <w:rFonts w:ascii="Arial" w:hAnsi="Arial" w:cs="Arial"/>
          <w:sz w:val="20"/>
          <w:szCs w:val="20"/>
          <w:lang w:eastAsia="en-AU"/>
        </w:rPr>
        <w:t xml:space="preserve">, yet this procedure has limited benefit and possible harm </w:t>
      </w:r>
      <w:r w:rsidR="00AF3A0D">
        <w:rPr>
          <w:rFonts w:ascii="Arial" w:hAnsi="Arial" w:cs="Arial"/>
          <w:sz w:val="20"/>
          <w:szCs w:val="20"/>
          <w:lang w:eastAsia="en-AU"/>
        </w:rPr>
        <w:t>in</w:t>
      </w:r>
      <w:r>
        <w:rPr>
          <w:rFonts w:ascii="Arial" w:hAnsi="Arial" w:cs="Arial"/>
          <w:sz w:val="20"/>
          <w:szCs w:val="20"/>
          <w:lang w:eastAsia="en-AU"/>
        </w:rPr>
        <w:t xml:space="preserve"> knee osteoarthritis</w:t>
      </w:r>
      <w:r w:rsidRPr="00670C70">
        <w:rPr>
          <w:rFonts w:ascii="Arial" w:hAnsi="Arial" w:cs="Arial"/>
          <w:sz w:val="20"/>
          <w:szCs w:val="20"/>
          <w:lang w:eastAsia="en-AU"/>
        </w:rPr>
        <w:t>.</w:t>
      </w:r>
      <w:r w:rsidR="00EC289E">
        <w:rPr>
          <w:rStyle w:val="FootnoteReference"/>
          <w:rFonts w:ascii="Arial" w:hAnsi="Arial" w:cs="Arial"/>
          <w:sz w:val="20"/>
          <w:szCs w:val="20"/>
          <w:lang w:eastAsia="en-AU"/>
        </w:rPr>
        <w:footnoteReference w:id="7"/>
      </w:r>
      <w:r w:rsidRPr="00670C70">
        <w:rPr>
          <w:rFonts w:ascii="Arial" w:hAnsi="Arial" w:cs="Arial"/>
          <w:sz w:val="20"/>
          <w:szCs w:val="20"/>
          <w:lang w:eastAsia="en-AU"/>
        </w:rPr>
        <w:t xml:space="preserve"> </w:t>
      </w:r>
    </w:p>
    <w:p w:rsidR="00670C70" w:rsidRPr="00670C70" w:rsidRDefault="008D4662" w:rsidP="008D4662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  <w:sz w:val="20"/>
          <w:szCs w:val="20"/>
          <w:lang w:eastAsia="en-AU"/>
        </w:rPr>
      </w:pPr>
      <w:r w:rsidRPr="00670C70">
        <w:rPr>
          <w:rFonts w:ascii="Arial" w:hAnsi="Arial" w:cs="Arial"/>
          <w:sz w:val="20"/>
          <w:szCs w:val="20"/>
          <w:lang w:eastAsia="en-AU"/>
        </w:rPr>
        <w:t xml:space="preserve">Seventy per cent </w:t>
      </w:r>
      <w:r w:rsidR="00670C70" w:rsidRPr="00670C70">
        <w:rPr>
          <w:rFonts w:ascii="Arial" w:hAnsi="Arial" w:cs="Arial"/>
          <w:sz w:val="20"/>
          <w:szCs w:val="20"/>
          <w:lang w:eastAsia="en-AU"/>
        </w:rPr>
        <w:t xml:space="preserve">of knee replacement surgeries </w:t>
      </w:r>
      <w:r w:rsidRPr="00670C70">
        <w:rPr>
          <w:rFonts w:ascii="Arial" w:hAnsi="Arial" w:cs="Arial"/>
          <w:sz w:val="20"/>
          <w:szCs w:val="20"/>
          <w:lang w:eastAsia="en-AU"/>
        </w:rPr>
        <w:t>are performed on overweight or obese patients</w:t>
      </w:r>
      <w:r w:rsidR="00670C70" w:rsidRPr="00670C70">
        <w:rPr>
          <w:rFonts w:ascii="Arial" w:hAnsi="Arial" w:cs="Arial"/>
          <w:sz w:val="20"/>
          <w:szCs w:val="20"/>
          <w:lang w:eastAsia="en-AU"/>
        </w:rPr>
        <w:t>,</w:t>
      </w:r>
      <w:r w:rsidR="00EC289E">
        <w:rPr>
          <w:rStyle w:val="FootnoteReference"/>
          <w:rFonts w:ascii="Arial" w:hAnsi="Arial" w:cs="Arial"/>
          <w:sz w:val="20"/>
          <w:szCs w:val="20"/>
          <w:lang w:eastAsia="en-AU"/>
        </w:rPr>
        <w:footnoteReference w:id="8"/>
      </w:r>
      <w:r w:rsidR="00670C70" w:rsidRPr="00670C70">
        <w:rPr>
          <w:rFonts w:ascii="Arial" w:hAnsi="Arial" w:cs="Arial"/>
          <w:sz w:val="20"/>
          <w:szCs w:val="20"/>
          <w:lang w:eastAsia="en-AU"/>
        </w:rPr>
        <w:t xml:space="preserve"> yet less than 8% of patients incorporate weight loss into treatment plan</w:t>
      </w:r>
      <w:r w:rsidR="00AF3A0D">
        <w:rPr>
          <w:rFonts w:ascii="Arial" w:hAnsi="Arial" w:cs="Arial"/>
          <w:sz w:val="20"/>
          <w:szCs w:val="20"/>
          <w:lang w:eastAsia="en-AU"/>
        </w:rPr>
        <w:t>s</w:t>
      </w:r>
      <w:r w:rsidR="00CE6D14">
        <w:rPr>
          <w:rFonts w:ascii="Arial" w:hAnsi="Arial" w:cs="Arial"/>
          <w:sz w:val="20"/>
          <w:szCs w:val="20"/>
          <w:lang w:eastAsia="en-AU"/>
        </w:rPr>
        <w:t>,</w:t>
      </w:r>
      <w:r w:rsidR="00670C70" w:rsidRPr="00670C70">
        <w:rPr>
          <w:rFonts w:ascii="Arial" w:hAnsi="Arial" w:cs="Arial"/>
          <w:sz w:val="20"/>
          <w:szCs w:val="20"/>
          <w:lang w:eastAsia="en-AU"/>
        </w:rPr>
        <w:t xml:space="preserve"> despite weight loss being a key strategy for symptom control.</w:t>
      </w:r>
      <w:r w:rsidR="00EC289E">
        <w:rPr>
          <w:rStyle w:val="FootnoteReference"/>
          <w:rFonts w:ascii="Arial" w:hAnsi="Arial" w:cs="Arial"/>
          <w:sz w:val="20"/>
          <w:szCs w:val="20"/>
          <w:lang w:eastAsia="en-AU"/>
        </w:rPr>
        <w:footnoteReference w:id="9"/>
      </w:r>
      <w:r w:rsidR="00670C70" w:rsidRPr="00670C70">
        <w:rPr>
          <w:rFonts w:ascii="Arial" w:hAnsi="Arial" w:cs="Arial"/>
          <w:sz w:val="20"/>
          <w:szCs w:val="20"/>
          <w:lang w:eastAsia="en-AU"/>
        </w:rPr>
        <w:t xml:space="preserve"> </w:t>
      </w:r>
    </w:p>
    <w:p w:rsidR="00C836D8" w:rsidRDefault="00C836D8" w:rsidP="006F2D39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proposed workshop will demonstrate a comprehensive knee assessment to assist with the accurate diagnosis of knee osteoarthritis without the use of imaging, and will provide an overview of </w:t>
      </w:r>
      <w:r w:rsidR="00B3638A">
        <w:rPr>
          <w:rFonts w:ascii="Arial" w:hAnsi="Arial" w:cs="Arial"/>
          <w:sz w:val="20"/>
          <w:szCs w:val="20"/>
        </w:rPr>
        <w:t xml:space="preserve">key </w:t>
      </w:r>
      <w:r>
        <w:rPr>
          <w:rFonts w:ascii="Arial" w:hAnsi="Arial" w:cs="Arial"/>
          <w:sz w:val="20"/>
          <w:szCs w:val="20"/>
        </w:rPr>
        <w:t xml:space="preserve">recommendations for </w:t>
      </w:r>
      <w:r w:rsidR="00B3638A">
        <w:rPr>
          <w:rFonts w:ascii="Arial" w:hAnsi="Arial" w:cs="Arial"/>
          <w:sz w:val="20"/>
          <w:szCs w:val="20"/>
        </w:rPr>
        <w:t xml:space="preserve">management of the condition in primary care, </w:t>
      </w:r>
      <w:r>
        <w:rPr>
          <w:rFonts w:ascii="Arial" w:hAnsi="Arial" w:cs="Arial"/>
          <w:sz w:val="20"/>
          <w:szCs w:val="20"/>
        </w:rPr>
        <w:t xml:space="preserve">in accordance with the </w:t>
      </w:r>
      <w:r w:rsidR="00AF3A0D">
        <w:rPr>
          <w:rFonts w:ascii="Arial" w:hAnsi="Arial" w:cs="Arial"/>
          <w:sz w:val="20"/>
          <w:szCs w:val="20"/>
        </w:rPr>
        <w:t xml:space="preserve">standard’s </w:t>
      </w:r>
      <w:r>
        <w:rPr>
          <w:rFonts w:ascii="Arial" w:hAnsi="Arial" w:cs="Arial"/>
          <w:sz w:val="20"/>
          <w:szCs w:val="20"/>
        </w:rPr>
        <w:t>quality statements.</w:t>
      </w:r>
    </w:p>
    <w:p w:rsidR="006F2D39" w:rsidRPr="00C836D8" w:rsidRDefault="008A69E1" w:rsidP="00C836D8">
      <w:pPr>
        <w:spacing w:after="120"/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Th</w:t>
      </w:r>
      <w:r w:rsidR="00A266DA">
        <w:rPr>
          <w:rFonts w:ascii="Arial" w:hAnsi="Arial" w:cs="Arial"/>
          <w:sz w:val="20"/>
          <w:szCs w:val="20"/>
          <w:lang w:eastAsia="en-AU"/>
        </w:rPr>
        <w:t>e</w:t>
      </w:r>
      <w:r>
        <w:rPr>
          <w:rFonts w:ascii="Arial" w:hAnsi="Arial" w:cs="Arial"/>
          <w:sz w:val="20"/>
          <w:szCs w:val="20"/>
          <w:lang w:eastAsia="en-AU"/>
        </w:rPr>
        <w:t xml:space="preserve"> </w:t>
      </w:r>
      <w:r w:rsidR="00C836D8">
        <w:rPr>
          <w:rFonts w:ascii="Arial" w:hAnsi="Arial" w:cs="Arial"/>
          <w:sz w:val="20"/>
          <w:szCs w:val="20"/>
          <w:lang w:eastAsia="en-AU"/>
        </w:rPr>
        <w:t>comprehensive knee assessment will mainly cover p</w:t>
      </w:r>
      <w:r w:rsidR="00A266DA">
        <w:rPr>
          <w:rFonts w:ascii="Arial" w:hAnsi="Arial" w:cs="Arial"/>
          <w:sz w:val="20"/>
          <w:szCs w:val="20"/>
          <w:lang w:eastAsia="en-AU"/>
        </w:rPr>
        <w:t xml:space="preserve">hysical examination </w:t>
      </w:r>
      <w:r w:rsidR="00C836D8">
        <w:rPr>
          <w:rFonts w:ascii="Arial" w:hAnsi="Arial" w:cs="Arial"/>
          <w:sz w:val="20"/>
          <w:szCs w:val="20"/>
          <w:lang w:eastAsia="en-AU"/>
        </w:rPr>
        <w:t>using a role-playing patient.</w:t>
      </w:r>
      <w:r w:rsidR="00B3638A">
        <w:rPr>
          <w:rFonts w:ascii="Arial" w:hAnsi="Arial" w:cs="Arial"/>
          <w:sz w:val="20"/>
          <w:szCs w:val="20"/>
          <w:lang w:eastAsia="en-AU"/>
        </w:rPr>
        <w:t xml:space="preserve"> </w:t>
      </w:r>
      <w:r w:rsidR="00CE6D14" w:rsidRPr="00C836D8">
        <w:rPr>
          <w:rFonts w:ascii="Arial" w:hAnsi="Arial" w:cs="Arial"/>
          <w:sz w:val="20"/>
          <w:szCs w:val="20"/>
          <w:lang w:eastAsia="en-AU"/>
        </w:rPr>
        <w:t xml:space="preserve">Concepts of management of knee osteoarthritis </w:t>
      </w:r>
      <w:r w:rsidR="00B3638A">
        <w:rPr>
          <w:rFonts w:ascii="Arial" w:hAnsi="Arial" w:cs="Arial"/>
          <w:sz w:val="20"/>
          <w:szCs w:val="20"/>
          <w:lang w:eastAsia="en-AU"/>
        </w:rPr>
        <w:t xml:space="preserve">will cover appropriate communication with the patient and the self-management plan. </w:t>
      </w:r>
    </w:p>
    <w:p w:rsidR="000D23DC" w:rsidRPr="006F2D39" w:rsidRDefault="000D23DC" w:rsidP="006F2D39">
      <w:pPr>
        <w:keepNext/>
        <w:spacing w:after="120"/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Th</w:t>
      </w:r>
      <w:r w:rsidR="00E74968">
        <w:rPr>
          <w:rFonts w:ascii="Arial" w:hAnsi="Arial" w:cs="Arial"/>
          <w:sz w:val="20"/>
          <w:szCs w:val="20"/>
          <w:lang w:eastAsia="en-AU"/>
        </w:rPr>
        <w:t>e</w:t>
      </w:r>
      <w:r>
        <w:rPr>
          <w:rFonts w:ascii="Arial" w:hAnsi="Arial" w:cs="Arial"/>
          <w:sz w:val="20"/>
          <w:szCs w:val="20"/>
          <w:lang w:eastAsia="en-AU"/>
        </w:rPr>
        <w:t xml:space="preserve"> workshop will be presented by clinical experts from the </w:t>
      </w:r>
      <w:r w:rsidR="00BF3647">
        <w:rPr>
          <w:rFonts w:ascii="Arial" w:hAnsi="Arial" w:cs="Arial"/>
          <w:sz w:val="20"/>
          <w:szCs w:val="20"/>
          <w:lang w:eastAsia="en-AU"/>
        </w:rPr>
        <w:t xml:space="preserve">Commission’s </w:t>
      </w:r>
      <w:r w:rsidR="00E74968">
        <w:rPr>
          <w:rFonts w:ascii="Arial" w:hAnsi="Arial" w:cs="Arial"/>
          <w:sz w:val="20"/>
          <w:szCs w:val="20"/>
          <w:lang w:eastAsia="en-AU"/>
        </w:rPr>
        <w:t xml:space="preserve">Osteoarthritis Clinical Care Standard </w:t>
      </w:r>
      <w:r>
        <w:rPr>
          <w:rFonts w:ascii="Arial" w:hAnsi="Arial" w:cs="Arial"/>
          <w:sz w:val="20"/>
          <w:szCs w:val="20"/>
          <w:lang w:eastAsia="en-AU"/>
        </w:rPr>
        <w:t>Topic Working Group.</w:t>
      </w:r>
    </w:p>
    <w:p w:rsidR="007113F0" w:rsidRDefault="007113F0" w:rsidP="006F2D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13F0" w:rsidRDefault="007113F0" w:rsidP="006F2D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4A80" w:rsidRPr="006F2D39" w:rsidRDefault="00DC4A80" w:rsidP="004E6D00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sectPr w:rsidR="00DC4A80" w:rsidRPr="006F2D39" w:rsidSect="000E3E5B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83A" w:rsidRDefault="00FA283A" w:rsidP="000E3E5B">
      <w:pPr>
        <w:spacing w:after="0" w:line="240" w:lineRule="auto"/>
      </w:pPr>
      <w:r>
        <w:separator/>
      </w:r>
    </w:p>
  </w:endnote>
  <w:endnote w:type="continuationSeparator" w:id="0">
    <w:p w:rsidR="00FA283A" w:rsidRDefault="00FA283A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83A" w:rsidRDefault="00FA283A" w:rsidP="000E3E5B">
      <w:pPr>
        <w:spacing w:after="0" w:line="240" w:lineRule="auto"/>
      </w:pPr>
      <w:r>
        <w:separator/>
      </w:r>
    </w:p>
  </w:footnote>
  <w:footnote w:type="continuationSeparator" w:id="0">
    <w:p w:rsidR="00FA283A" w:rsidRDefault="00FA283A" w:rsidP="000E3E5B">
      <w:pPr>
        <w:spacing w:after="0" w:line="240" w:lineRule="auto"/>
      </w:pPr>
      <w:r>
        <w:continuationSeparator/>
      </w:r>
    </w:p>
  </w:footnote>
  <w:footnote w:id="1">
    <w:p w:rsidR="00CE6D14" w:rsidRPr="00C126A0" w:rsidRDefault="00CE6D14">
      <w:pPr>
        <w:pStyle w:val="FootnoteText"/>
        <w:rPr>
          <w:rFonts w:ascii="Arial" w:hAnsi="Arial" w:cs="Arial"/>
          <w:sz w:val="16"/>
          <w:szCs w:val="16"/>
        </w:rPr>
      </w:pPr>
      <w:r w:rsidRPr="00EC289E">
        <w:rPr>
          <w:rStyle w:val="FootnoteReference"/>
          <w:rFonts w:ascii="Arial" w:hAnsi="Arial" w:cs="Arial"/>
          <w:sz w:val="16"/>
        </w:rPr>
        <w:footnoteRef/>
      </w:r>
      <w:r w:rsidRPr="00EC289E">
        <w:rPr>
          <w:rFonts w:ascii="Arial" w:hAnsi="Arial" w:cs="Arial"/>
          <w:sz w:val="16"/>
        </w:rPr>
        <w:t xml:space="preserve"> </w:t>
      </w:r>
      <w:r w:rsidRPr="00C126A0">
        <w:rPr>
          <w:rFonts w:ascii="Arial" w:hAnsi="Arial" w:cs="Arial"/>
          <w:noProof/>
          <w:sz w:val="16"/>
          <w:szCs w:val="16"/>
        </w:rPr>
        <w:t>Arthritis and Osteoporosis Victoria. A problem worth solving. The rising cost of musculoskeletal conditions in Australia. Melbourne: Arthritis and Osteoporosis Victoria 2013</w:t>
      </w:r>
    </w:p>
  </w:footnote>
  <w:footnote w:id="2">
    <w:p w:rsidR="00EC289E" w:rsidRPr="00C126A0" w:rsidRDefault="00EC289E">
      <w:pPr>
        <w:pStyle w:val="FootnoteText"/>
        <w:rPr>
          <w:rFonts w:ascii="Arial" w:hAnsi="Arial" w:cs="Arial"/>
          <w:sz w:val="16"/>
          <w:szCs w:val="16"/>
        </w:rPr>
      </w:pPr>
      <w:r w:rsidRPr="00C126A0">
        <w:rPr>
          <w:rStyle w:val="FootnoteReference"/>
          <w:rFonts w:ascii="Arial" w:hAnsi="Arial" w:cs="Arial"/>
          <w:sz w:val="16"/>
          <w:szCs w:val="16"/>
        </w:rPr>
        <w:footnoteRef/>
      </w:r>
      <w:r w:rsidRPr="00C126A0">
        <w:rPr>
          <w:rFonts w:ascii="Arial" w:hAnsi="Arial" w:cs="Arial"/>
          <w:sz w:val="16"/>
          <w:szCs w:val="16"/>
        </w:rPr>
        <w:t xml:space="preserve"> </w:t>
      </w:r>
      <w:r w:rsidRPr="00C126A0">
        <w:rPr>
          <w:rFonts w:ascii="Arial" w:hAnsi="Arial" w:cs="Arial"/>
          <w:noProof/>
          <w:sz w:val="16"/>
          <w:szCs w:val="16"/>
        </w:rPr>
        <w:t xml:space="preserve">Australian Institute of Health and Welfare. Osteoarthritis Canberra: AIHW; 2016 Available from: </w:t>
      </w:r>
      <w:hyperlink r:id="rId1" w:history="1">
        <w:r w:rsidRPr="00C126A0">
          <w:rPr>
            <w:rStyle w:val="Hyperlink"/>
            <w:rFonts w:ascii="Arial" w:eastAsia="Times New Roman" w:hAnsi="Arial" w:cs="Arial"/>
            <w:noProof/>
            <w:sz w:val="16"/>
            <w:szCs w:val="16"/>
            <w:lang w:eastAsia="en-AU"/>
          </w:rPr>
          <w:t>http://www.aihw.gov.au/osteoarthritis</w:t>
        </w:r>
      </w:hyperlink>
      <w:r w:rsidRPr="00C126A0">
        <w:rPr>
          <w:rStyle w:val="Hyperlink"/>
          <w:rFonts w:ascii="Arial" w:eastAsia="Times New Roman" w:hAnsi="Arial" w:cs="Arial"/>
          <w:noProof/>
          <w:sz w:val="16"/>
          <w:szCs w:val="16"/>
          <w:lang w:eastAsia="en-AU"/>
        </w:rPr>
        <w:t xml:space="preserve"> </w:t>
      </w:r>
    </w:p>
  </w:footnote>
  <w:footnote w:id="3">
    <w:p w:rsidR="00C126A0" w:rsidRPr="00C126A0" w:rsidRDefault="00C126A0">
      <w:pPr>
        <w:pStyle w:val="FootnoteText"/>
        <w:rPr>
          <w:sz w:val="16"/>
          <w:szCs w:val="16"/>
        </w:rPr>
      </w:pPr>
      <w:r w:rsidRPr="00C126A0">
        <w:rPr>
          <w:rStyle w:val="FootnoteReference"/>
          <w:sz w:val="16"/>
          <w:szCs w:val="16"/>
        </w:rPr>
        <w:footnoteRef/>
      </w:r>
      <w:r w:rsidRPr="00C126A0">
        <w:rPr>
          <w:sz w:val="16"/>
          <w:szCs w:val="16"/>
        </w:rPr>
        <w:t xml:space="preserve"> ibid</w:t>
      </w:r>
    </w:p>
  </w:footnote>
  <w:footnote w:id="4">
    <w:p w:rsidR="00EC289E" w:rsidRPr="00C126A0" w:rsidRDefault="00EC289E">
      <w:pPr>
        <w:pStyle w:val="FootnoteText"/>
        <w:rPr>
          <w:rFonts w:ascii="Arial" w:hAnsi="Arial" w:cs="Arial"/>
          <w:sz w:val="16"/>
          <w:szCs w:val="16"/>
        </w:rPr>
      </w:pPr>
      <w:r w:rsidRPr="00C126A0">
        <w:rPr>
          <w:rStyle w:val="FootnoteReference"/>
          <w:rFonts w:ascii="Arial" w:hAnsi="Arial" w:cs="Arial"/>
          <w:sz w:val="16"/>
          <w:szCs w:val="16"/>
        </w:rPr>
        <w:footnoteRef/>
      </w:r>
      <w:r w:rsidRPr="00C126A0">
        <w:rPr>
          <w:rFonts w:ascii="Arial" w:hAnsi="Arial" w:cs="Arial"/>
          <w:sz w:val="16"/>
          <w:szCs w:val="16"/>
        </w:rPr>
        <w:t xml:space="preserve"> Australian Commission on Safety and Quality in Health Care. Osteoarthritis of the Knee Clinical Care Standard. Sydney: ACSQHC; 2017, </w:t>
      </w:r>
      <w:hyperlink r:id="rId2" w:history="1">
        <w:r w:rsidRPr="00C126A0">
          <w:rPr>
            <w:rStyle w:val="Hyperlink"/>
            <w:rFonts w:ascii="Arial" w:hAnsi="Arial" w:cs="Arial"/>
            <w:sz w:val="16"/>
            <w:szCs w:val="16"/>
          </w:rPr>
          <w:t>https://www.safetyandquality.gov.au/our-work/clinical-care-standards/osteoarthritis-clinical-care-standard/</w:t>
        </w:r>
      </w:hyperlink>
      <w:r w:rsidRPr="00C126A0">
        <w:rPr>
          <w:rFonts w:ascii="Arial" w:hAnsi="Arial" w:cs="Arial"/>
          <w:sz w:val="16"/>
          <w:szCs w:val="16"/>
        </w:rPr>
        <w:t xml:space="preserve"> </w:t>
      </w:r>
    </w:p>
  </w:footnote>
  <w:footnote w:id="5">
    <w:p w:rsidR="00EC289E" w:rsidRPr="00C126A0" w:rsidRDefault="00EC289E">
      <w:pPr>
        <w:pStyle w:val="FootnoteText"/>
        <w:rPr>
          <w:rFonts w:ascii="Arial" w:hAnsi="Arial" w:cs="Arial"/>
          <w:sz w:val="16"/>
          <w:szCs w:val="16"/>
        </w:rPr>
      </w:pPr>
      <w:r w:rsidRPr="00C126A0">
        <w:rPr>
          <w:rStyle w:val="FootnoteReference"/>
          <w:rFonts w:ascii="Arial" w:hAnsi="Arial" w:cs="Arial"/>
          <w:sz w:val="16"/>
          <w:szCs w:val="16"/>
        </w:rPr>
        <w:footnoteRef/>
      </w:r>
      <w:r w:rsidRPr="00C126A0">
        <w:rPr>
          <w:rFonts w:ascii="Arial" w:hAnsi="Arial" w:cs="Arial"/>
          <w:sz w:val="16"/>
          <w:szCs w:val="16"/>
        </w:rPr>
        <w:t xml:space="preserve"> </w:t>
      </w:r>
      <w:r w:rsidRPr="00C126A0">
        <w:rPr>
          <w:rFonts w:ascii="Arial" w:hAnsi="Arial" w:cs="Arial"/>
          <w:noProof/>
          <w:sz w:val="16"/>
          <w:szCs w:val="16"/>
        </w:rPr>
        <w:t>Bedson J, Croft PR. The discordance between clinical and radiographic knee osteoarthritis: a systematic search and summary of the literature. BMC Musculoskelet Disord. 2008;9:116.</w:t>
      </w:r>
    </w:p>
  </w:footnote>
  <w:footnote w:id="6">
    <w:p w:rsidR="00EC289E" w:rsidRPr="00C126A0" w:rsidRDefault="00EC289E">
      <w:pPr>
        <w:pStyle w:val="FootnoteText"/>
        <w:rPr>
          <w:rFonts w:ascii="Arial" w:hAnsi="Arial" w:cs="Arial"/>
          <w:sz w:val="16"/>
          <w:szCs w:val="16"/>
        </w:rPr>
      </w:pPr>
      <w:r w:rsidRPr="00C126A0">
        <w:rPr>
          <w:rStyle w:val="FootnoteReference"/>
          <w:rFonts w:ascii="Arial" w:hAnsi="Arial" w:cs="Arial"/>
          <w:sz w:val="16"/>
          <w:szCs w:val="16"/>
        </w:rPr>
        <w:footnoteRef/>
      </w:r>
      <w:r w:rsidRPr="00C126A0">
        <w:rPr>
          <w:rFonts w:ascii="Arial" w:hAnsi="Arial" w:cs="Arial"/>
          <w:sz w:val="16"/>
          <w:szCs w:val="16"/>
        </w:rPr>
        <w:t xml:space="preserve"> </w:t>
      </w:r>
      <w:r w:rsidRPr="00C126A0">
        <w:rPr>
          <w:rFonts w:ascii="Arial" w:hAnsi="Arial" w:cs="Arial"/>
          <w:noProof/>
          <w:sz w:val="16"/>
          <w:szCs w:val="16"/>
        </w:rPr>
        <w:t>Englund M, Guermazi A, Gale D, Hunter DJ, Aliabadi P, Clancy M, et al. Incidental meniscal findings on knee MRI in middle-aged and elderly persons. N Engl J Med. 2008;359(11):1108-15</w:t>
      </w:r>
    </w:p>
  </w:footnote>
  <w:footnote w:id="7">
    <w:p w:rsidR="00EC289E" w:rsidRPr="00C126A0" w:rsidRDefault="00EC289E">
      <w:pPr>
        <w:pStyle w:val="FootnoteText"/>
        <w:rPr>
          <w:rFonts w:ascii="Arial" w:hAnsi="Arial" w:cs="Arial"/>
          <w:sz w:val="16"/>
          <w:szCs w:val="16"/>
        </w:rPr>
      </w:pPr>
      <w:r w:rsidRPr="00C126A0">
        <w:rPr>
          <w:rStyle w:val="FootnoteReference"/>
          <w:rFonts w:ascii="Arial" w:hAnsi="Arial" w:cs="Arial"/>
          <w:sz w:val="16"/>
          <w:szCs w:val="16"/>
        </w:rPr>
        <w:footnoteRef/>
      </w:r>
      <w:r w:rsidRPr="00C126A0">
        <w:rPr>
          <w:rFonts w:ascii="Arial" w:hAnsi="Arial" w:cs="Arial"/>
          <w:sz w:val="16"/>
          <w:szCs w:val="16"/>
        </w:rPr>
        <w:t xml:space="preserve"> </w:t>
      </w:r>
      <w:r w:rsidRPr="00C126A0">
        <w:rPr>
          <w:rFonts w:ascii="Arial" w:hAnsi="Arial" w:cs="Arial"/>
          <w:noProof/>
          <w:sz w:val="16"/>
          <w:szCs w:val="16"/>
        </w:rPr>
        <w:t>Australian Commission on Safety and Quality on Health Care. 3.1 Knee arthroscopy hospital admissions 55 years and over.  Australian Atlas of Healthcare Variation. Sydney: ACSQHC; 2015. p. 105-12.</w:t>
      </w:r>
    </w:p>
  </w:footnote>
  <w:footnote w:id="8">
    <w:p w:rsidR="00EC289E" w:rsidRPr="00C126A0" w:rsidRDefault="00EC289E">
      <w:pPr>
        <w:pStyle w:val="FootnoteText"/>
        <w:rPr>
          <w:rFonts w:ascii="Arial" w:hAnsi="Arial" w:cs="Arial"/>
          <w:sz w:val="16"/>
          <w:szCs w:val="16"/>
        </w:rPr>
      </w:pPr>
      <w:r w:rsidRPr="00C126A0">
        <w:rPr>
          <w:rStyle w:val="FootnoteReference"/>
          <w:rFonts w:ascii="Arial" w:hAnsi="Arial" w:cs="Arial"/>
          <w:sz w:val="16"/>
          <w:szCs w:val="16"/>
        </w:rPr>
        <w:footnoteRef/>
      </w:r>
      <w:r w:rsidRPr="00C126A0">
        <w:rPr>
          <w:rFonts w:ascii="Arial" w:hAnsi="Arial" w:cs="Arial"/>
          <w:sz w:val="16"/>
          <w:szCs w:val="16"/>
        </w:rPr>
        <w:t xml:space="preserve"> Liu, B., Balkwill, A., Banks, E., Cooper, C., Green, J. and Beral, V. (2007), Relationship of height, weight and body mass index to the risk of hip and knee replacements in middle-aged women. Rheumatology. 46(5): p. 861-867. </w:t>
      </w:r>
    </w:p>
  </w:footnote>
  <w:footnote w:id="9">
    <w:p w:rsidR="00EC289E" w:rsidRPr="00EC289E" w:rsidRDefault="00EC289E" w:rsidP="00EC289E">
      <w:pPr>
        <w:pStyle w:val="EndNoteBibliography"/>
        <w:spacing w:after="0"/>
        <w:rPr>
          <w:rFonts w:ascii="Arial" w:hAnsi="Arial" w:cs="Arial"/>
          <w:sz w:val="18"/>
        </w:rPr>
      </w:pPr>
      <w:r w:rsidRPr="00C126A0">
        <w:rPr>
          <w:rStyle w:val="FootnoteReference"/>
          <w:rFonts w:ascii="Arial" w:hAnsi="Arial" w:cs="Arial"/>
          <w:sz w:val="16"/>
          <w:szCs w:val="16"/>
        </w:rPr>
        <w:footnoteRef/>
      </w:r>
      <w:r w:rsidRPr="00C126A0">
        <w:rPr>
          <w:rFonts w:ascii="Arial" w:hAnsi="Arial" w:cs="Arial"/>
          <w:sz w:val="16"/>
          <w:szCs w:val="16"/>
        </w:rPr>
        <w:t xml:space="preserve"> Muthuri SG, Hui M, Doherty M, Zhang W. What if we prevent obesity? Risk reduction in knee osteoarthritis estimated through a meta-analysis of observational studies. Arthritis Care Res (Hoboken). 2011;63(7):982-90.</w:t>
      </w:r>
    </w:p>
    <w:p w:rsidR="00EC289E" w:rsidRDefault="00EC289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E5B" w:rsidRDefault="000E3E5B">
    <w:pPr>
      <w:pStyle w:val="Header"/>
    </w:pPr>
    <w:r>
      <w:rPr>
        <w:noProof/>
        <w:lang w:eastAsia="en-AU"/>
      </w:rPr>
      <w:drawing>
        <wp:inline distT="0" distB="0" distL="0" distR="0" wp14:anchorId="6D64A67C" wp14:editId="4953CF18">
          <wp:extent cx="1985528" cy="690916"/>
          <wp:effectExtent l="0" t="0" r="0" b="0"/>
          <wp:docPr id="4" name="Picture 4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343BA"/>
    <w:multiLevelType w:val="hybridMultilevel"/>
    <w:tmpl w:val="D7F6B1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C1129"/>
    <w:multiLevelType w:val="hybridMultilevel"/>
    <w:tmpl w:val="0EA657D8"/>
    <w:lvl w:ilvl="0" w:tplc="AFF03494">
      <w:start w:val="4"/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B7788"/>
    <w:multiLevelType w:val="hybridMultilevel"/>
    <w:tmpl w:val="C3D8DABA"/>
    <w:lvl w:ilvl="0" w:tplc="BFEA2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DA3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E80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6A9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4E63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0A9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0A4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B029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0A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CDE76F7"/>
    <w:multiLevelType w:val="hybridMultilevel"/>
    <w:tmpl w:val="495A6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F2458A"/>
    <w:multiLevelType w:val="hybridMultilevel"/>
    <w:tmpl w:val="DF22D8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D01C89"/>
    <w:multiLevelType w:val="hybridMultilevel"/>
    <w:tmpl w:val="B44EB3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Sage 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zvr2w0pwxxsne0swc5f0eb9tf2pvzapve9&quot;&gt;Clinical Care Standards EndNote Library&lt;record-ids&gt;&lt;item&gt;876&lt;/item&gt;&lt;item&gt;970&lt;/item&gt;&lt;item&gt;971&lt;/item&gt;&lt;/record-ids&gt;&lt;/item&gt;&lt;/Libraries&gt;"/>
  </w:docVars>
  <w:rsids>
    <w:rsidRoot w:val="002A5BB7"/>
    <w:rsid w:val="00003D1B"/>
    <w:rsid w:val="00017FBE"/>
    <w:rsid w:val="00064FAB"/>
    <w:rsid w:val="00076593"/>
    <w:rsid w:val="000C45A9"/>
    <w:rsid w:val="000D23DC"/>
    <w:rsid w:val="000E3E5B"/>
    <w:rsid w:val="0011732E"/>
    <w:rsid w:val="001E7254"/>
    <w:rsid w:val="002033BA"/>
    <w:rsid w:val="00214BF8"/>
    <w:rsid w:val="00236217"/>
    <w:rsid w:val="00257D58"/>
    <w:rsid w:val="0029234D"/>
    <w:rsid w:val="00292C38"/>
    <w:rsid w:val="002A5BB7"/>
    <w:rsid w:val="002E70A8"/>
    <w:rsid w:val="00314D6F"/>
    <w:rsid w:val="0035220A"/>
    <w:rsid w:val="00480533"/>
    <w:rsid w:val="00492AEB"/>
    <w:rsid w:val="0049469F"/>
    <w:rsid w:val="004C1A3D"/>
    <w:rsid w:val="004E6D00"/>
    <w:rsid w:val="004F11CB"/>
    <w:rsid w:val="00670C70"/>
    <w:rsid w:val="006A12A3"/>
    <w:rsid w:val="006F2D39"/>
    <w:rsid w:val="007113F0"/>
    <w:rsid w:val="00724FA9"/>
    <w:rsid w:val="007849FD"/>
    <w:rsid w:val="007B158F"/>
    <w:rsid w:val="00836C6D"/>
    <w:rsid w:val="008A69E1"/>
    <w:rsid w:val="008B6CB1"/>
    <w:rsid w:val="008D4662"/>
    <w:rsid w:val="008E1EB1"/>
    <w:rsid w:val="008F17AD"/>
    <w:rsid w:val="009A034C"/>
    <w:rsid w:val="009B017B"/>
    <w:rsid w:val="00A14007"/>
    <w:rsid w:val="00A266DA"/>
    <w:rsid w:val="00A47983"/>
    <w:rsid w:val="00AF3A0D"/>
    <w:rsid w:val="00B14CAA"/>
    <w:rsid w:val="00B26F06"/>
    <w:rsid w:val="00B3638A"/>
    <w:rsid w:val="00BF3647"/>
    <w:rsid w:val="00C126A0"/>
    <w:rsid w:val="00C36BDF"/>
    <w:rsid w:val="00C836D8"/>
    <w:rsid w:val="00CE6D14"/>
    <w:rsid w:val="00D0311E"/>
    <w:rsid w:val="00D14D5D"/>
    <w:rsid w:val="00D556AB"/>
    <w:rsid w:val="00DC4A80"/>
    <w:rsid w:val="00DD4730"/>
    <w:rsid w:val="00E43412"/>
    <w:rsid w:val="00E74968"/>
    <w:rsid w:val="00EC289E"/>
    <w:rsid w:val="00ED15FF"/>
    <w:rsid w:val="00EE23F7"/>
    <w:rsid w:val="00F50C90"/>
    <w:rsid w:val="00F6035C"/>
    <w:rsid w:val="00FA283A"/>
    <w:rsid w:val="00FA353C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paragraph" w:customStyle="1" w:styleId="Body">
    <w:name w:val="Body"/>
    <w:basedOn w:val="Normal"/>
    <w:qFormat/>
    <w:rsid w:val="00236217"/>
    <w:pPr>
      <w:spacing w:after="0" w:line="240" w:lineRule="auto"/>
    </w:pPr>
    <w:rPr>
      <w:rFonts w:ascii="Arial" w:eastAsia="Cambria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2033BA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E23F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23F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E23F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E23F7"/>
    <w:rPr>
      <w:rFonts w:ascii="Calibri" w:hAnsi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8A69E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A69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69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69E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6D1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6D1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6D1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C28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paragraph" w:customStyle="1" w:styleId="Body">
    <w:name w:val="Body"/>
    <w:basedOn w:val="Normal"/>
    <w:qFormat/>
    <w:rsid w:val="00236217"/>
    <w:pPr>
      <w:spacing w:after="0" w:line="240" w:lineRule="auto"/>
    </w:pPr>
    <w:rPr>
      <w:rFonts w:ascii="Arial" w:eastAsia="Cambria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2033BA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E23F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23F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E23F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E23F7"/>
    <w:rPr>
      <w:rFonts w:ascii="Calibri" w:hAnsi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8A69E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A69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69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69E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6D1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6D1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6D1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C28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6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afetyandquality.gov.au/our-work/clinical-care-standards/osteoarthritis-clinical-care-standard/" TargetMode="External"/><Relationship Id="rId1" Type="http://schemas.openxmlformats.org/officeDocument/2006/relationships/hyperlink" Target="http://www.aihw.gov.au/osteoarthrit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F56DB-55B5-4351-B69D-44AF5F7BB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1</Pages>
  <Words>309</Words>
  <Characters>1879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CHIPMAN, Vivienne</cp:lastModifiedBy>
  <cp:revision>8</cp:revision>
  <cp:lastPrinted>2017-02-15T03:53:00Z</cp:lastPrinted>
  <dcterms:created xsi:type="dcterms:W3CDTF">2017-06-29T06:13:00Z</dcterms:created>
  <dcterms:modified xsi:type="dcterms:W3CDTF">2017-06-30T05:05:00Z</dcterms:modified>
</cp:coreProperties>
</file>