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0C73EC" w:rsidRPr="000C73EC" w:rsidRDefault="002A5BB7" w:rsidP="000C73EC">
      <w:pPr>
        <w:spacing w:line="240" w:lineRule="auto"/>
        <w:rPr>
          <w:rFonts w:ascii="Arial" w:hAnsi="Arial" w:cs="Arial"/>
          <w:sz w:val="20"/>
          <w:szCs w:val="20"/>
        </w:rPr>
      </w:pPr>
      <w:r w:rsidRPr="00724FA9">
        <w:rPr>
          <w:rFonts w:ascii="Arial" w:hAnsi="Arial" w:cs="Arial"/>
          <w:b/>
          <w:sz w:val="20"/>
          <w:szCs w:val="20"/>
        </w:rPr>
        <w:t xml:space="preserve">Presentation title: </w:t>
      </w:r>
      <w:r w:rsidR="000C73EC" w:rsidRPr="000C73EC">
        <w:rPr>
          <w:rFonts w:ascii="Arial" w:hAnsi="Arial" w:cs="Arial"/>
          <w:sz w:val="20"/>
          <w:szCs w:val="20"/>
        </w:rPr>
        <w:t>The Global Assessment Tools in (medical) Education (GATE) Project</w:t>
      </w: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0C73EC" w:rsidRDefault="000C73EC" w:rsidP="002A5BB7">
      <w:pPr>
        <w:spacing w:after="0" w:line="240" w:lineRule="auto"/>
        <w:rPr>
          <w:rFonts w:ascii="Arial" w:hAnsi="Arial" w:cs="Arial"/>
          <w:sz w:val="20"/>
          <w:szCs w:val="20"/>
        </w:rPr>
      </w:pPr>
    </w:p>
    <w:p w:rsidR="000C73EC" w:rsidRPr="000C73EC" w:rsidRDefault="000C73EC" w:rsidP="000C73EC">
      <w:pPr>
        <w:spacing w:after="0" w:line="240" w:lineRule="auto"/>
        <w:jc w:val="both"/>
        <w:rPr>
          <w:rFonts w:ascii="Arial" w:hAnsi="Arial" w:cs="Arial"/>
          <w:b/>
          <w:sz w:val="20"/>
          <w:szCs w:val="20"/>
        </w:rPr>
      </w:pPr>
      <w:r w:rsidRPr="000C73EC">
        <w:rPr>
          <w:rFonts w:ascii="Arial" w:hAnsi="Arial" w:cs="Arial"/>
          <w:b/>
          <w:sz w:val="20"/>
          <w:szCs w:val="20"/>
        </w:rPr>
        <w:t>Background</w:t>
      </w:r>
    </w:p>
    <w:p w:rsidR="000C73EC" w:rsidRPr="000C73EC" w:rsidRDefault="000C73EC" w:rsidP="000C73EC">
      <w:pPr>
        <w:spacing w:after="0" w:line="240" w:lineRule="auto"/>
        <w:jc w:val="both"/>
        <w:rPr>
          <w:rFonts w:ascii="Arial" w:hAnsi="Arial" w:cs="Arial"/>
          <w:sz w:val="20"/>
          <w:szCs w:val="20"/>
          <w:lang w:val="en-US"/>
        </w:rPr>
      </w:pPr>
      <w:r w:rsidRPr="000C73EC">
        <w:rPr>
          <w:rFonts w:ascii="Arial" w:hAnsi="Arial" w:cs="Arial"/>
          <w:sz w:val="20"/>
          <w:szCs w:val="20"/>
          <w:lang w:val="en-US"/>
        </w:rPr>
        <w:t xml:space="preserve">Global Assessments are used throughout GP training, including at training program selection, during direct observation of practice, and within summative assessment.  </w:t>
      </w:r>
      <w:r w:rsidRPr="000C73EC">
        <w:rPr>
          <w:rFonts w:ascii="Arial" w:hAnsi="Arial" w:cs="Arial"/>
          <w:sz w:val="20"/>
          <w:szCs w:val="20"/>
        </w:rPr>
        <w:t xml:space="preserve">Although some selection and assessment tools have been validated as markers of progression in training, the Global Assessment process used within these tools has yet to be clearly defined. </w:t>
      </w:r>
    </w:p>
    <w:p w:rsidR="000C73EC" w:rsidRPr="000C73EC" w:rsidRDefault="000C73EC" w:rsidP="000C73EC">
      <w:pPr>
        <w:spacing w:after="0" w:line="240" w:lineRule="auto"/>
        <w:jc w:val="both"/>
        <w:rPr>
          <w:rFonts w:ascii="Arial" w:hAnsi="Arial" w:cs="Arial"/>
          <w:sz w:val="20"/>
          <w:szCs w:val="20"/>
        </w:rPr>
      </w:pPr>
    </w:p>
    <w:p w:rsidR="000C73EC" w:rsidRPr="000C73EC" w:rsidRDefault="000C73EC" w:rsidP="000C73EC">
      <w:pPr>
        <w:spacing w:after="0" w:line="240" w:lineRule="auto"/>
        <w:jc w:val="both"/>
        <w:rPr>
          <w:rFonts w:ascii="Arial" w:hAnsi="Arial" w:cs="Arial"/>
          <w:b/>
          <w:sz w:val="20"/>
          <w:szCs w:val="20"/>
        </w:rPr>
      </w:pPr>
      <w:r w:rsidRPr="000C73EC">
        <w:rPr>
          <w:rFonts w:ascii="Arial" w:hAnsi="Arial" w:cs="Arial"/>
          <w:b/>
          <w:sz w:val="20"/>
          <w:szCs w:val="20"/>
        </w:rPr>
        <w:t>Aims</w:t>
      </w:r>
    </w:p>
    <w:p w:rsidR="000C73EC" w:rsidRPr="000C73EC" w:rsidRDefault="000C73EC" w:rsidP="000C73EC">
      <w:pPr>
        <w:spacing w:after="0" w:line="240" w:lineRule="auto"/>
        <w:jc w:val="both"/>
        <w:rPr>
          <w:rFonts w:ascii="Arial" w:hAnsi="Arial" w:cs="Arial"/>
          <w:sz w:val="20"/>
          <w:szCs w:val="20"/>
        </w:rPr>
      </w:pPr>
      <w:r w:rsidRPr="000C73EC">
        <w:rPr>
          <w:rFonts w:ascii="Arial" w:hAnsi="Arial" w:cs="Arial"/>
          <w:sz w:val="20"/>
          <w:szCs w:val="20"/>
        </w:rPr>
        <w:t>To determine factors influenci</w:t>
      </w:r>
      <w:bookmarkStart w:id="0" w:name="_GoBack"/>
      <w:bookmarkEnd w:id="0"/>
      <w:r w:rsidRPr="000C73EC">
        <w:rPr>
          <w:rFonts w:ascii="Arial" w:hAnsi="Arial" w:cs="Arial"/>
          <w:sz w:val="20"/>
          <w:szCs w:val="20"/>
        </w:rPr>
        <w:t>ng assessors in their assignment of a Global Assessment score along with gaining an understanding the behaviour of assessors themselves.</w:t>
      </w:r>
    </w:p>
    <w:p w:rsidR="000C73EC" w:rsidRPr="000C73EC" w:rsidRDefault="000C73EC" w:rsidP="000C73EC">
      <w:pPr>
        <w:spacing w:after="0" w:line="240" w:lineRule="auto"/>
        <w:jc w:val="both"/>
        <w:rPr>
          <w:rFonts w:ascii="Arial" w:hAnsi="Arial" w:cs="Arial"/>
          <w:sz w:val="20"/>
          <w:szCs w:val="20"/>
        </w:rPr>
      </w:pPr>
    </w:p>
    <w:p w:rsidR="000C73EC" w:rsidRPr="000C73EC" w:rsidRDefault="000C73EC" w:rsidP="000C73EC">
      <w:pPr>
        <w:spacing w:after="0" w:line="240" w:lineRule="auto"/>
        <w:jc w:val="both"/>
        <w:rPr>
          <w:rFonts w:ascii="Arial" w:hAnsi="Arial" w:cs="Arial"/>
          <w:b/>
          <w:sz w:val="20"/>
          <w:szCs w:val="20"/>
        </w:rPr>
      </w:pPr>
      <w:r w:rsidRPr="000C73EC">
        <w:rPr>
          <w:rFonts w:ascii="Arial" w:hAnsi="Arial" w:cs="Arial"/>
          <w:b/>
          <w:sz w:val="20"/>
          <w:szCs w:val="20"/>
        </w:rPr>
        <w:t>Method</w:t>
      </w:r>
    </w:p>
    <w:p w:rsidR="000C73EC" w:rsidRPr="000C73EC" w:rsidRDefault="000C73EC" w:rsidP="000C73EC">
      <w:pPr>
        <w:spacing w:after="0" w:line="240" w:lineRule="auto"/>
        <w:jc w:val="both"/>
        <w:rPr>
          <w:rFonts w:ascii="Arial" w:hAnsi="Arial" w:cs="Arial"/>
          <w:sz w:val="20"/>
          <w:szCs w:val="20"/>
        </w:rPr>
      </w:pPr>
      <w:r w:rsidRPr="000C73EC">
        <w:rPr>
          <w:rFonts w:ascii="Arial" w:hAnsi="Arial" w:cs="Arial"/>
          <w:sz w:val="20"/>
          <w:szCs w:val="20"/>
        </w:rPr>
        <w:t xml:space="preserve">Project participants were Medical Educators and GP Supervisors from the nine Australian Regional Training Organisations and the Remote Vocational Training Scheme.   A modified Delphi process was employed in the form of rounds of questionnaires with scenario-based stem questions.    </w:t>
      </w:r>
      <w:r w:rsidRPr="000C73EC">
        <w:rPr>
          <w:rFonts w:ascii="Arial" w:hAnsi="Arial" w:cs="Arial"/>
          <w:sz w:val="20"/>
          <w:szCs w:val="20"/>
          <w:lang w:val="en-US"/>
        </w:rPr>
        <w:t>Participants self-reported factors contributing to Global Assessment which were subsequently ranked using Likert scales in further Delphi rounds.</w:t>
      </w:r>
      <w:r w:rsidRPr="000C73EC">
        <w:rPr>
          <w:rFonts w:ascii="Arial" w:hAnsi="Arial" w:cs="Arial"/>
          <w:sz w:val="20"/>
          <w:szCs w:val="20"/>
        </w:rPr>
        <w:t xml:space="preserve"> The questionnaires also comprised demographic and personal attribute variables including age, gender, years of clinical experience, and years of supervision provided. </w:t>
      </w:r>
    </w:p>
    <w:p w:rsidR="000C73EC" w:rsidRPr="000C73EC" w:rsidRDefault="000C73EC" w:rsidP="000C73EC">
      <w:pPr>
        <w:spacing w:after="0" w:line="240" w:lineRule="auto"/>
        <w:jc w:val="both"/>
        <w:rPr>
          <w:rFonts w:ascii="Arial" w:hAnsi="Arial" w:cs="Arial"/>
          <w:sz w:val="20"/>
          <w:szCs w:val="20"/>
        </w:rPr>
      </w:pPr>
    </w:p>
    <w:p w:rsidR="000C73EC" w:rsidRPr="000C73EC" w:rsidRDefault="000C73EC" w:rsidP="000C73EC">
      <w:pPr>
        <w:spacing w:after="0" w:line="240" w:lineRule="auto"/>
        <w:jc w:val="both"/>
        <w:rPr>
          <w:rFonts w:ascii="Arial" w:hAnsi="Arial" w:cs="Arial"/>
          <w:b/>
          <w:sz w:val="20"/>
          <w:szCs w:val="20"/>
        </w:rPr>
      </w:pPr>
      <w:r w:rsidRPr="000C73EC">
        <w:rPr>
          <w:rFonts w:ascii="Arial" w:hAnsi="Arial" w:cs="Arial"/>
          <w:b/>
          <w:sz w:val="20"/>
          <w:szCs w:val="20"/>
        </w:rPr>
        <w:t>Results</w:t>
      </w:r>
    </w:p>
    <w:p w:rsidR="000C73EC" w:rsidRPr="000C73EC" w:rsidRDefault="000C73EC" w:rsidP="000C73EC">
      <w:pPr>
        <w:spacing w:after="0" w:line="240" w:lineRule="auto"/>
        <w:jc w:val="both"/>
        <w:rPr>
          <w:rFonts w:ascii="Arial" w:hAnsi="Arial" w:cs="Arial"/>
          <w:sz w:val="20"/>
          <w:szCs w:val="20"/>
        </w:rPr>
      </w:pPr>
      <w:r w:rsidRPr="000C73EC">
        <w:rPr>
          <w:rFonts w:ascii="Arial" w:hAnsi="Arial" w:cs="Arial"/>
          <w:sz w:val="20"/>
          <w:szCs w:val="20"/>
        </w:rPr>
        <w:t>The factors influencing Global Assessment are quite varied and are dependent on the context within which the assessment was occurring, and the assessor’s role and experience. An awareness of the impact of bias in making Global Assessments was also identified.</w:t>
      </w:r>
    </w:p>
    <w:p w:rsidR="000C73EC" w:rsidRPr="000C73EC" w:rsidRDefault="000C73EC" w:rsidP="000C73EC">
      <w:pPr>
        <w:spacing w:after="0" w:line="240" w:lineRule="auto"/>
        <w:jc w:val="both"/>
        <w:rPr>
          <w:rFonts w:ascii="Arial" w:hAnsi="Arial" w:cs="Arial"/>
          <w:sz w:val="20"/>
          <w:szCs w:val="20"/>
        </w:rPr>
      </w:pPr>
    </w:p>
    <w:p w:rsidR="000C73EC" w:rsidRPr="000C73EC" w:rsidRDefault="000C73EC" w:rsidP="000C73EC">
      <w:pPr>
        <w:spacing w:after="0" w:line="240" w:lineRule="auto"/>
        <w:jc w:val="both"/>
        <w:rPr>
          <w:rFonts w:ascii="Arial" w:hAnsi="Arial" w:cs="Arial"/>
          <w:b/>
          <w:sz w:val="20"/>
          <w:szCs w:val="20"/>
        </w:rPr>
      </w:pPr>
      <w:r w:rsidRPr="000C73EC">
        <w:rPr>
          <w:rFonts w:ascii="Arial" w:hAnsi="Arial" w:cs="Arial"/>
          <w:b/>
          <w:sz w:val="20"/>
          <w:szCs w:val="20"/>
        </w:rPr>
        <w:t>Conclusion</w:t>
      </w:r>
    </w:p>
    <w:p w:rsidR="000C73EC" w:rsidRPr="000C73EC" w:rsidRDefault="000C73EC" w:rsidP="000C73EC">
      <w:pPr>
        <w:spacing w:after="0" w:line="240" w:lineRule="auto"/>
        <w:jc w:val="both"/>
        <w:rPr>
          <w:rFonts w:ascii="Arial" w:hAnsi="Arial" w:cs="Arial"/>
          <w:sz w:val="20"/>
          <w:szCs w:val="20"/>
        </w:rPr>
      </w:pPr>
      <w:r w:rsidRPr="000C73EC">
        <w:rPr>
          <w:rFonts w:ascii="Arial" w:hAnsi="Arial" w:cs="Arial"/>
          <w:sz w:val="20"/>
          <w:szCs w:val="20"/>
        </w:rPr>
        <w:t xml:space="preserve">Global Assessment may be useful to indicate progression where traditional ‘checklists’ have not been reliable, e.g. communication issues, clinical knowledge deficits, cultural nuances, professionalism issues and difficulty dealing with uncertainty </w:t>
      </w:r>
      <w:r w:rsidRPr="000C73EC">
        <w:rPr>
          <w:rFonts w:ascii="Arial" w:hAnsi="Arial" w:cs="Arial"/>
          <w:sz w:val="20"/>
          <w:szCs w:val="20"/>
        </w:rPr>
        <w:fldChar w:fldCharType="begin"/>
      </w:r>
      <w:r w:rsidRPr="000C73EC">
        <w:rPr>
          <w:rFonts w:ascii="Arial" w:hAnsi="Arial" w:cs="Arial"/>
          <w:sz w:val="20"/>
          <w:szCs w:val="20"/>
        </w:rPr>
        <w:instrText xml:space="preserve"> ADDIN EN.CITE &lt;EndNote&gt;&lt;Cite&gt;&lt;Author&gt;Regher&lt;/Author&gt;&lt;Year&gt;1998&lt;/Year&gt;&lt;RecNum&gt;317&lt;/RecNum&gt;&lt;DisplayText&gt;(Regher, MacRae, Reznick, &amp;amp; D, 1998)&lt;/DisplayText&gt;&lt;record&gt;&lt;rec-number&gt;317&lt;/rec-number&gt;&lt;foreign-keys&gt;&lt;key app="EN" db-id="tpsrxdt2hxxax1ef2xjxxpeof0s5ew2pvx5e"&gt;317&lt;/key&gt;&lt;/foreign-keys&gt;&lt;ref-type name="Journal Article"&gt;17&lt;/ref-type&gt;&lt;contributors&gt;&lt;authors&gt;&lt;author&gt;Regher, G&lt;/author&gt;&lt;author&gt;MacRae, H&lt;/author&gt;&lt;author&gt;Reznick, R&lt;/author&gt;&lt;author&gt;Szalay D&lt;/author&gt;&lt;/authors&gt;&lt;/contributors&gt;&lt;titles&gt;&lt;title&gt;Comparing the psychometric properties of checklists and global rating scales for assessing performance on an OSCE-format examination.&lt;/title&gt;&lt;secondary-title&gt;Academic Medicine&lt;/secondary-title&gt;&lt;/titles&gt;&lt;periodical&gt;&lt;full-title&gt;Academic Medicine&lt;/full-title&gt;&lt;/periodical&gt;&lt;pages&gt;pp. 993-997&lt;/pages&gt;&lt;volume&gt;73&lt;/volume&gt;&lt;number&gt;9&lt;/number&gt;&lt;dates&gt;&lt;year&gt;1998&lt;/year&gt;&lt;/dates&gt;&lt;urls&gt;&lt;/urls&gt;&lt;/record&gt;&lt;/Cite&gt;&lt;/EndNote&gt;</w:instrText>
      </w:r>
      <w:r w:rsidRPr="000C73EC">
        <w:rPr>
          <w:rFonts w:ascii="Arial" w:hAnsi="Arial" w:cs="Arial"/>
          <w:sz w:val="20"/>
          <w:szCs w:val="20"/>
        </w:rPr>
        <w:fldChar w:fldCharType="separate"/>
      </w:r>
      <w:r w:rsidRPr="000C73EC">
        <w:rPr>
          <w:rFonts w:ascii="Arial" w:hAnsi="Arial" w:cs="Arial"/>
          <w:sz w:val="20"/>
          <w:szCs w:val="20"/>
        </w:rPr>
        <w:t>(</w:t>
      </w:r>
      <w:hyperlink w:anchor="_ENREF_1" w:tooltip="Regher, 1998 #317" w:history="1">
        <w:r w:rsidRPr="000C73EC">
          <w:rPr>
            <w:rStyle w:val="Hyperlink"/>
            <w:rFonts w:ascii="Arial" w:hAnsi="Arial" w:cs="Arial"/>
            <w:sz w:val="20"/>
            <w:szCs w:val="20"/>
          </w:rPr>
          <w:t>Regher, MacRae, Reznick, &amp; D, 1998</w:t>
        </w:r>
      </w:hyperlink>
      <w:r w:rsidRPr="000C73EC">
        <w:rPr>
          <w:rFonts w:ascii="Arial" w:hAnsi="Arial" w:cs="Arial"/>
          <w:sz w:val="20"/>
          <w:szCs w:val="20"/>
        </w:rPr>
        <w:t>)</w:t>
      </w:r>
      <w:r w:rsidRPr="000C73EC">
        <w:rPr>
          <w:rFonts w:ascii="Arial" w:hAnsi="Arial" w:cs="Arial"/>
          <w:sz w:val="20"/>
          <w:szCs w:val="20"/>
        </w:rPr>
        <w:fldChar w:fldCharType="end"/>
      </w:r>
      <w:r w:rsidRPr="000C73EC">
        <w:rPr>
          <w:rFonts w:ascii="Arial" w:hAnsi="Arial" w:cs="Arial"/>
          <w:sz w:val="20"/>
          <w:szCs w:val="20"/>
        </w:rPr>
        <w:t>.  As assessment is impacted by multiple sources of error, understanding the non-evaluative sources of error can provide direction on how to improve the utility of Global Assessment.</w:t>
      </w:r>
    </w:p>
    <w:p w:rsidR="000C73EC" w:rsidRPr="000C73EC" w:rsidRDefault="000C73EC" w:rsidP="000C73EC">
      <w:pPr>
        <w:spacing w:after="0" w:line="240" w:lineRule="auto"/>
        <w:jc w:val="both"/>
        <w:rPr>
          <w:rFonts w:ascii="Arial" w:hAnsi="Arial" w:cs="Arial"/>
          <w:sz w:val="20"/>
          <w:szCs w:val="20"/>
        </w:rPr>
      </w:pPr>
    </w:p>
    <w:p w:rsidR="000C73EC" w:rsidRPr="000C73EC" w:rsidRDefault="000C73EC" w:rsidP="000C73EC">
      <w:pPr>
        <w:spacing w:after="0" w:line="240" w:lineRule="auto"/>
        <w:jc w:val="both"/>
        <w:rPr>
          <w:rFonts w:ascii="Arial" w:hAnsi="Arial" w:cs="Arial"/>
          <w:sz w:val="20"/>
          <w:szCs w:val="20"/>
        </w:rPr>
      </w:pPr>
      <w:r w:rsidRPr="000C73EC">
        <w:rPr>
          <w:rFonts w:ascii="Arial" w:hAnsi="Arial" w:cs="Arial"/>
          <w:b/>
          <w:sz w:val="20"/>
          <w:szCs w:val="20"/>
        </w:rPr>
        <w:t>References</w:t>
      </w:r>
      <w:r w:rsidRPr="000C73EC">
        <w:rPr>
          <w:rFonts w:ascii="Arial" w:hAnsi="Arial" w:cs="Arial"/>
          <w:sz w:val="20"/>
          <w:szCs w:val="20"/>
        </w:rPr>
        <w:t xml:space="preserve">:  </w:t>
      </w:r>
      <w:bookmarkStart w:id="1" w:name="_ENREF_1"/>
      <w:proofErr w:type="spellStart"/>
      <w:r w:rsidRPr="000C73EC">
        <w:rPr>
          <w:rFonts w:ascii="Arial" w:hAnsi="Arial" w:cs="Arial"/>
          <w:sz w:val="20"/>
          <w:szCs w:val="20"/>
        </w:rPr>
        <w:t>Regher</w:t>
      </w:r>
      <w:proofErr w:type="spellEnd"/>
      <w:r w:rsidRPr="000C73EC">
        <w:rPr>
          <w:rFonts w:ascii="Arial" w:hAnsi="Arial" w:cs="Arial"/>
          <w:sz w:val="20"/>
          <w:szCs w:val="20"/>
        </w:rPr>
        <w:t xml:space="preserve">, G., </w:t>
      </w:r>
      <w:proofErr w:type="spellStart"/>
      <w:r w:rsidRPr="000C73EC">
        <w:rPr>
          <w:rFonts w:ascii="Arial" w:hAnsi="Arial" w:cs="Arial"/>
          <w:sz w:val="20"/>
          <w:szCs w:val="20"/>
        </w:rPr>
        <w:t>MacRae</w:t>
      </w:r>
      <w:proofErr w:type="spellEnd"/>
      <w:r w:rsidRPr="000C73EC">
        <w:rPr>
          <w:rFonts w:ascii="Arial" w:hAnsi="Arial" w:cs="Arial"/>
          <w:sz w:val="20"/>
          <w:szCs w:val="20"/>
        </w:rPr>
        <w:t xml:space="preserve">, H., </w:t>
      </w:r>
      <w:proofErr w:type="spellStart"/>
      <w:r w:rsidRPr="000C73EC">
        <w:rPr>
          <w:rFonts w:ascii="Arial" w:hAnsi="Arial" w:cs="Arial"/>
          <w:sz w:val="20"/>
          <w:szCs w:val="20"/>
        </w:rPr>
        <w:t>Reznick</w:t>
      </w:r>
      <w:proofErr w:type="spellEnd"/>
      <w:r w:rsidRPr="000C73EC">
        <w:rPr>
          <w:rFonts w:ascii="Arial" w:hAnsi="Arial" w:cs="Arial"/>
          <w:sz w:val="20"/>
          <w:szCs w:val="20"/>
        </w:rPr>
        <w:t xml:space="preserve">, R., &amp; D, S. (1998). Comparing the psychometric properties of checklists and global rating scales for assessing performance on an OSCE-format examination. </w:t>
      </w:r>
      <w:r w:rsidRPr="000C73EC">
        <w:rPr>
          <w:rFonts w:ascii="Arial" w:hAnsi="Arial" w:cs="Arial"/>
          <w:i/>
          <w:sz w:val="20"/>
          <w:szCs w:val="20"/>
        </w:rPr>
        <w:t>Academic Medicine, 73</w:t>
      </w:r>
      <w:r w:rsidRPr="000C73EC">
        <w:rPr>
          <w:rFonts w:ascii="Arial" w:hAnsi="Arial" w:cs="Arial"/>
          <w:sz w:val="20"/>
          <w:szCs w:val="20"/>
        </w:rPr>
        <w:t xml:space="preserve">(9), pp. 993-997. </w:t>
      </w:r>
      <w:bookmarkEnd w:id="1"/>
    </w:p>
    <w:p w:rsidR="000C73EC" w:rsidRDefault="000C73EC" w:rsidP="002A5BB7">
      <w:pPr>
        <w:spacing w:after="0" w:line="240" w:lineRule="auto"/>
        <w:rPr>
          <w:rFonts w:ascii="Arial" w:hAnsi="Arial" w:cs="Arial"/>
          <w:sz w:val="20"/>
          <w:szCs w:val="20"/>
        </w:rPr>
      </w:pP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C73EC"/>
    <w:rsid w:val="000E3E5B"/>
    <w:rsid w:val="0011732E"/>
    <w:rsid w:val="00257D58"/>
    <w:rsid w:val="002A5BB7"/>
    <w:rsid w:val="00724FA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9216"/>
  <w15:docId w15:val="{2C8945F7-2859-4B2C-B84E-E080A891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3E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customStyle="1" w:styleId="Heading1Char">
    <w:name w:val="Heading 1 Char"/>
    <w:basedOn w:val="DefaultParagraphFont"/>
    <w:link w:val="Heading1"/>
    <w:uiPriority w:val="9"/>
    <w:rsid w:val="000C73EC"/>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C73EC"/>
    <w:rPr>
      <w:color w:val="0000FF" w:themeColor="hyperlink"/>
      <w:u w:val="single"/>
    </w:rPr>
  </w:style>
  <w:style w:type="character" w:styleId="UnresolvedMention">
    <w:name w:val="Unresolved Mention"/>
    <w:basedOn w:val="DefaultParagraphFont"/>
    <w:uiPriority w:val="99"/>
    <w:semiHidden/>
    <w:unhideWhenUsed/>
    <w:rsid w:val="000C73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EF362-B5F4-4F8D-B521-9EB72306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Bec Stewart</cp:lastModifiedBy>
  <cp:revision>2</cp:revision>
  <cp:lastPrinted>2017-02-15T03:53:00Z</cp:lastPrinted>
  <dcterms:created xsi:type="dcterms:W3CDTF">2017-06-29T02:24:00Z</dcterms:created>
  <dcterms:modified xsi:type="dcterms:W3CDTF">2017-06-29T02:24:00Z</dcterms:modified>
</cp:coreProperties>
</file>