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rsidR="002A5BB7" w:rsidRPr="005C44CF" w:rsidRDefault="005C44CF" w:rsidP="002A5BB7">
      <w:pPr>
        <w:spacing w:after="0" w:line="240" w:lineRule="auto"/>
        <w:rPr>
          <w:rFonts w:ascii="Arial" w:hAnsi="Arial" w:cs="Arial"/>
          <w:sz w:val="20"/>
          <w:szCs w:val="20"/>
        </w:rPr>
      </w:pPr>
      <w:r w:rsidRPr="005C44CF">
        <w:rPr>
          <w:rFonts w:ascii="Arial" w:hAnsi="Arial" w:cs="Arial"/>
          <w:sz w:val="20"/>
          <w:szCs w:val="20"/>
        </w:rPr>
        <w:t>A Clinical Workshop to explore the implications of Codeine rescheduling and real time prescription monitoring in general practice- managing pain and prescribing ORT safely: an interactive presentation with case studies and panel discussion.</w:t>
      </w: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1732E" w:rsidRDefault="005C44CF" w:rsidP="002A5BB7">
      <w:pPr>
        <w:spacing w:after="0" w:line="240" w:lineRule="auto"/>
        <w:rPr>
          <w:rFonts w:ascii="Arial" w:hAnsi="Arial" w:cs="Arial"/>
          <w:sz w:val="20"/>
          <w:szCs w:val="20"/>
        </w:rPr>
      </w:pPr>
      <w:r>
        <w:rPr>
          <w:rFonts w:ascii="Arial" w:hAnsi="Arial" w:cs="Arial"/>
          <w:sz w:val="20"/>
          <w:szCs w:val="20"/>
        </w:rPr>
        <w:t>Over the counter codeine containing products will be rescheduled on 1 March 2018. This will have a significant impact on general practitioners who will need to manage patients presenting with a wide range conditions, from relatively minor complaints to including those with symptoms of opioid withdrawal. Misuse of OTC codeine-containing medications presents a significant health burden and an unknown number of patients are codeine-dependent. Furthermore later in 2018 real time prescription monitoring (RTPM) will be introduced and this will further increase the demand on primary healthcare services to address underlying opioid dependency and chronic opioid use.</w:t>
      </w:r>
    </w:p>
    <w:p w:rsidR="005C44CF" w:rsidRDefault="005C44CF" w:rsidP="002A5BB7">
      <w:pPr>
        <w:spacing w:after="0" w:line="240" w:lineRule="auto"/>
        <w:rPr>
          <w:rFonts w:ascii="Arial" w:hAnsi="Arial" w:cs="Arial"/>
          <w:sz w:val="20"/>
          <w:szCs w:val="20"/>
        </w:rPr>
      </w:pPr>
    </w:p>
    <w:p w:rsidR="005C44CF" w:rsidRDefault="005C44CF" w:rsidP="002A5BB7">
      <w:pPr>
        <w:spacing w:after="0" w:line="240" w:lineRule="auto"/>
        <w:rPr>
          <w:rFonts w:ascii="Arial" w:hAnsi="Arial" w:cs="Arial"/>
          <w:sz w:val="20"/>
          <w:szCs w:val="20"/>
        </w:rPr>
      </w:pPr>
      <w:r>
        <w:rPr>
          <w:rFonts w:ascii="Arial" w:hAnsi="Arial" w:cs="Arial"/>
          <w:sz w:val="20"/>
          <w:szCs w:val="20"/>
        </w:rPr>
        <w:t>Primary health care services will need clear guidelines as to how to manage such presentations, as well as how to meet the demand for appropriate treatment for those with chronic pain conditions and opioid dependency.</w:t>
      </w:r>
    </w:p>
    <w:p w:rsidR="005C44CF" w:rsidRDefault="005C44CF" w:rsidP="002A5BB7">
      <w:pPr>
        <w:spacing w:after="0" w:line="240" w:lineRule="auto"/>
        <w:rPr>
          <w:rFonts w:ascii="Arial" w:hAnsi="Arial" w:cs="Arial"/>
          <w:sz w:val="20"/>
          <w:szCs w:val="20"/>
        </w:rPr>
      </w:pPr>
    </w:p>
    <w:p w:rsidR="005C44CF" w:rsidRDefault="005C44CF" w:rsidP="002A5BB7">
      <w:pPr>
        <w:spacing w:after="0" w:line="240" w:lineRule="auto"/>
        <w:rPr>
          <w:rFonts w:ascii="Arial" w:hAnsi="Arial" w:cs="Arial"/>
          <w:sz w:val="20"/>
          <w:szCs w:val="20"/>
        </w:rPr>
      </w:pPr>
      <w:r>
        <w:rPr>
          <w:rFonts w:ascii="Arial" w:hAnsi="Arial" w:cs="Arial"/>
          <w:sz w:val="20"/>
          <w:szCs w:val="20"/>
        </w:rPr>
        <w:t>This interactive workshop will provide the following learning outcomes:</w:t>
      </w:r>
    </w:p>
    <w:p w:rsidR="005C44CF" w:rsidRDefault="001E5653" w:rsidP="002A5BB7">
      <w:pPr>
        <w:spacing w:after="0" w:line="240" w:lineRule="auto"/>
        <w:rPr>
          <w:rFonts w:ascii="Arial" w:hAnsi="Arial" w:cs="Arial"/>
          <w:sz w:val="20"/>
          <w:szCs w:val="20"/>
        </w:rPr>
      </w:pPr>
      <w:r>
        <w:rPr>
          <w:rFonts w:ascii="Arial" w:hAnsi="Arial" w:cs="Arial"/>
          <w:sz w:val="20"/>
          <w:szCs w:val="20"/>
        </w:rPr>
        <w:t>How to appropriately prescribe opioids in general practice to ensure patient safety</w:t>
      </w:r>
    </w:p>
    <w:p w:rsidR="001E5653" w:rsidRDefault="001E5653" w:rsidP="002A5BB7">
      <w:pPr>
        <w:spacing w:after="0" w:line="240" w:lineRule="auto"/>
        <w:rPr>
          <w:rFonts w:ascii="Arial" w:hAnsi="Arial" w:cs="Arial"/>
          <w:sz w:val="20"/>
          <w:szCs w:val="20"/>
        </w:rPr>
      </w:pPr>
      <w:r>
        <w:rPr>
          <w:rFonts w:ascii="Arial" w:hAnsi="Arial" w:cs="Arial"/>
          <w:sz w:val="20"/>
          <w:szCs w:val="20"/>
        </w:rPr>
        <w:t>How to commence a patient on ORT as well as manage an inherited patient on opioids</w:t>
      </w:r>
    </w:p>
    <w:p w:rsidR="001E5653" w:rsidRDefault="001E5653" w:rsidP="002A5BB7">
      <w:pPr>
        <w:spacing w:after="0" w:line="240" w:lineRule="auto"/>
        <w:rPr>
          <w:rFonts w:ascii="Arial" w:hAnsi="Arial" w:cs="Arial"/>
          <w:sz w:val="20"/>
          <w:szCs w:val="20"/>
        </w:rPr>
      </w:pPr>
      <w:r>
        <w:rPr>
          <w:rFonts w:ascii="Arial" w:hAnsi="Arial" w:cs="Arial"/>
          <w:sz w:val="20"/>
          <w:szCs w:val="20"/>
        </w:rPr>
        <w:t>Understand the local jurisdictional; policies regarding ORT prescribing</w:t>
      </w:r>
    </w:p>
    <w:p w:rsidR="001E5653" w:rsidRDefault="001E5653" w:rsidP="002A5BB7">
      <w:pPr>
        <w:spacing w:after="0" w:line="240" w:lineRule="auto"/>
        <w:rPr>
          <w:rFonts w:ascii="Arial" w:hAnsi="Arial" w:cs="Arial"/>
          <w:sz w:val="20"/>
          <w:szCs w:val="20"/>
        </w:rPr>
      </w:pPr>
      <w:r>
        <w:rPr>
          <w:rFonts w:ascii="Arial" w:hAnsi="Arial" w:cs="Arial"/>
          <w:sz w:val="20"/>
          <w:szCs w:val="20"/>
        </w:rPr>
        <w:t>Identify how to assess suitability for take-away doses</w:t>
      </w:r>
    </w:p>
    <w:p w:rsidR="001E5653" w:rsidRDefault="001E5653" w:rsidP="002A5BB7">
      <w:pPr>
        <w:spacing w:after="0" w:line="240" w:lineRule="auto"/>
        <w:rPr>
          <w:rFonts w:ascii="Arial" w:hAnsi="Arial" w:cs="Arial"/>
          <w:sz w:val="20"/>
          <w:szCs w:val="20"/>
        </w:rPr>
      </w:pPr>
      <w:r>
        <w:rPr>
          <w:rFonts w:ascii="Arial" w:hAnsi="Arial" w:cs="Arial"/>
          <w:sz w:val="20"/>
          <w:szCs w:val="20"/>
        </w:rPr>
        <w:t xml:space="preserve">Be aware of potential interactions of ORT </w:t>
      </w:r>
      <w:bookmarkStart w:id="0" w:name="_GoBack"/>
      <w:bookmarkEnd w:id="0"/>
      <w:r>
        <w:rPr>
          <w:rFonts w:ascii="Arial" w:hAnsi="Arial" w:cs="Arial"/>
          <w:sz w:val="20"/>
          <w:szCs w:val="20"/>
        </w:rPr>
        <w:t>with other medications</w:t>
      </w:r>
    </w:p>
    <w:p w:rsidR="001E5653" w:rsidRPr="000E3E5B" w:rsidRDefault="001E5653" w:rsidP="002A5BB7">
      <w:pPr>
        <w:spacing w:after="0" w:line="240" w:lineRule="auto"/>
        <w:rPr>
          <w:rFonts w:ascii="Arial" w:hAnsi="Arial" w:cs="Arial"/>
          <w:sz w:val="20"/>
          <w:szCs w:val="20"/>
        </w:rPr>
      </w:pPr>
    </w:p>
    <w:sectPr w:rsidR="001E5653"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6E0" w:rsidRDefault="000876E0" w:rsidP="000E3E5B">
      <w:pPr>
        <w:spacing w:after="0" w:line="240" w:lineRule="auto"/>
      </w:pPr>
      <w:r>
        <w:separator/>
      </w:r>
    </w:p>
  </w:endnote>
  <w:endnote w:type="continuationSeparator" w:id="0">
    <w:p w:rsidR="000876E0" w:rsidRDefault="000876E0"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6E0" w:rsidRDefault="000876E0" w:rsidP="000E3E5B">
      <w:pPr>
        <w:spacing w:after="0" w:line="240" w:lineRule="auto"/>
      </w:pPr>
      <w:r>
        <w:separator/>
      </w:r>
    </w:p>
  </w:footnote>
  <w:footnote w:type="continuationSeparator" w:id="0">
    <w:p w:rsidR="000876E0" w:rsidRDefault="000876E0"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876E0"/>
    <w:rsid w:val="000E3E5B"/>
    <w:rsid w:val="0011732E"/>
    <w:rsid w:val="001E5653"/>
    <w:rsid w:val="00257D58"/>
    <w:rsid w:val="002A5BB7"/>
    <w:rsid w:val="005C44CF"/>
    <w:rsid w:val="00724FA9"/>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F1664-C35A-472E-BC89-076648E3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Owner</cp:lastModifiedBy>
  <cp:revision>2</cp:revision>
  <cp:lastPrinted>2017-02-15T03:53:00Z</cp:lastPrinted>
  <dcterms:created xsi:type="dcterms:W3CDTF">2017-07-09T04:33:00Z</dcterms:created>
  <dcterms:modified xsi:type="dcterms:W3CDTF">2017-07-09T04:33:00Z</dcterms:modified>
</cp:coreProperties>
</file>