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240" w:lineRule="auto"/>
        <w:rPr>
          <w:rFonts w:ascii="Arial" w:hAnsi="Arial"/>
          <w:sz w:val="20"/>
          <w:szCs w:val="20"/>
        </w:rPr>
      </w:pPr>
    </w:p>
    <w:p>
      <w:pPr>
        <w:pStyle w:val="Body"/>
        <w:spacing w:after="0" w:line="240" w:lineRule="auto"/>
        <w:rPr>
          <w:rFonts w:ascii="Arial" w:hAnsi="Arial"/>
          <w:b w:val="1"/>
          <w:bCs w:val="1"/>
          <w:sz w:val="20"/>
          <w:szCs w:val="20"/>
        </w:rPr>
      </w:pPr>
    </w:p>
    <w:p>
      <w:pPr>
        <w:pStyle w:val="Body"/>
        <w:spacing w:after="0" w:line="240" w:lineRule="auto"/>
        <w:rPr>
          <w:rFonts w:ascii="Arial" w:cs="Arial" w:hAnsi="Arial" w:eastAsia="Arial"/>
          <w:b w:val="1"/>
          <w:bCs w:val="1"/>
          <w:i w:val="1"/>
          <w:i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>Presentation title: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 xml:space="preserve"> </w:t>
      </w:r>
      <w:r>
        <w:rPr>
          <w:rFonts w:ascii="Arial" w:hAnsi="Arial"/>
          <w:b w:val="1"/>
          <w:bCs w:val="1"/>
          <w:i w:val="1"/>
          <w:iCs w:val="1"/>
          <w:sz w:val="20"/>
          <w:szCs w:val="20"/>
          <w:rtl w:val="0"/>
          <w:lang w:val="en-US"/>
        </w:rPr>
        <w:t>My Medical Best Practice - Build A Practice That Cares</w:t>
      </w:r>
    </w:p>
    <w:p>
      <w:pPr>
        <w:pStyle w:val="Body"/>
        <w:spacing w:after="0" w:line="240" w:lineRule="auto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Body"/>
        <w:spacing w:after="0" w:line="240" w:lineRule="auto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de-DE"/>
        </w:rPr>
        <w:t>Abstract</w:t>
      </w:r>
      <w:r>
        <w:rPr>
          <w:rFonts w:ascii="Arial" w:hAnsi="Arial"/>
          <w:b w:val="1"/>
          <w:bCs w:val="1"/>
          <w:sz w:val="20"/>
          <w:szCs w:val="20"/>
          <w:rtl w:val="0"/>
          <w:lang w:val="en-US"/>
        </w:rPr>
        <w:t xml:space="preserve">: </w:t>
      </w:r>
      <w:r>
        <w:rPr>
          <w:rFonts w:ascii="Arial" w:hAnsi="Arial"/>
          <w:sz w:val="20"/>
          <w:szCs w:val="20"/>
          <w:rtl w:val="0"/>
          <w:lang w:val="en-US"/>
        </w:rPr>
        <w:t xml:space="preserve">(max. 300 words): </w:t>
      </w:r>
    </w:p>
    <w:p>
      <w:pPr>
        <w:pStyle w:val="Body"/>
        <w:spacing w:after="0"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Body"/>
        <w:spacing w:after="0" w:line="240" w:lineRule="auto"/>
      </w:pPr>
      <w:r>
        <w:rPr>
          <w:rtl w:val="0"/>
          <w:lang w:val="en-US"/>
        </w:rPr>
        <w:t>Build a practice that cares:</w:t>
      </w:r>
      <w:r>
        <w:rPr>
          <w:rtl w:val="0"/>
          <w:lang w:val="en-US"/>
        </w:rPr>
        <w:t xml:space="preserve"> </w:t>
      </w:r>
      <w:r>
        <w:rPr>
          <w:rtl w:val="0"/>
          <w:lang w:val="pt-PT"/>
        </w:rPr>
        <w:t xml:space="preserve">A </w:t>
      </w:r>
      <w:r>
        <w:rPr>
          <w:b w:val="1"/>
          <w:bCs w:val="1"/>
          <w:i w:val="1"/>
          <w:iCs w:val="1"/>
          <w:rtl w:val="0"/>
          <w:lang w:val="en-US"/>
        </w:rPr>
        <w:t>new</w:t>
      </w:r>
      <w:r>
        <w:rPr>
          <w:rtl w:val="0"/>
          <w:lang w:val="en-US"/>
        </w:rPr>
        <w:t xml:space="preserve"> old way of practising medicine </w:t>
      </w:r>
      <w:r>
        <w:rPr>
          <w:rtl w:val="0"/>
          <w:lang w:val="en-US"/>
        </w:rPr>
        <w:t>- a</w:t>
      </w:r>
      <w:r>
        <w:rPr>
          <w:rtl w:val="0"/>
          <w:lang w:val="en-US"/>
        </w:rPr>
        <w:t xml:space="preserve"> compelling rationale for the creation of a medical practice contributes to its success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>The practice vision and the</w:t>
      </w:r>
      <w:r>
        <w:rPr>
          <w:i w:val="1"/>
          <w:iCs w:val="1"/>
          <w:rtl w:val="0"/>
        </w:rPr>
        <w:t xml:space="preserve"> </w:t>
      </w:r>
      <w:r>
        <w:rPr>
          <w:rFonts w:ascii="Gill Sans" w:hAnsi="Gill Sans"/>
          <w:b w:val="1"/>
          <w:bCs w:val="1"/>
          <w:i w:val="1"/>
          <w:iCs w:val="1"/>
          <w:rtl w:val="0"/>
          <w:lang w:val="en-US"/>
        </w:rPr>
        <w:t>why</w:t>
      </w:r>
      <w:r>
        <w:rPr>
          <w:rFonts w:ascii="Gill Sans" w:hAnsi="Gill Sans"/>
          <w:i w:val="1"/>
          <w:iCs w:val="1"/>
          <w:rtl w:val="0"/>
          <w:lang w:val="en-US"/>
        </w:rPr>
        <w:t xml:space="preserve"> </w:t>
      </w:r>
      <w:r>
        <w:rPr>
          <w:rtl w:val="0"/>
          <w:lang w:val="en-US"/>
        </w:rPr>
        <w:t>reflects the practitioner</w:t>
      </w:r>
      <w:r>
        <w:rPr>
          <w:rtl w:val="0"/>
        </w:rPr>
        <w:t>’</w:t>
      </w:r>
      <w:r>
        <w:rPr>
          <w:rtl w:val="0"/>
          <w:lang w:val="en-US"/>
        </w:rPr>
        <w:t>s personal and professional background with a clear link between the philosophy of the practice (in respect to both patient philosophy and practice operations) and the practitioner</w:t>
      </w:r>
      <w:r>
        <w:rPr>
          <w:rtl w:val="0"/>
        </w:rPr>
        <w:t>’</w:t>
      </w:r>
      <w:r>
        <w:rPr>
          <w:rtl w:val="0"/>
          <w:lang w:val="en-US"/>
        </w:rPr>
        <w:t>s own guiding principles and values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Excellence in patient service by </w:t>
      </w:r>
      <w:r>
        <w:rPr>
          <w:rFonts w:ascii="Gill Sans" w:hAnsi="Gill Sans"/>
          <w:b w:val="1"/>
          <w:bCs w:val="1"/>
          <w:i w:val="1"/>
          <w:iCs w:val="1"/>
          <w:color w:val="ff0000"/>
          <w:rtl w:val="0"/>
          <w:lang w:val="en-US"/>
        </w:rPr>
        <w:t>caring</w:t>
      </w:r>
      <w:r>
        <w:rPr>
          <w:rtl w:val="0"/>
          <w:lang w:val="en-US"/>
        </w:rPr>
        <w:t xml:space="preserve"> for patients as first priority.</w:t>
      </w:r>
    </w:p>
    <w:p>
      <w:pPr>
        <w:pStyle w:val="Body"/>
        <w:spacing w:after="0" w:line="240" w:lineRule="auto"/>
      </w:pPr>
    </w:p>
    <w:p>
      <w:pPr>
        <w:pStyle w:val="Body"/>
        <w:spacing w:after="0" w:line="240" w:lineRule="auto"/>
      </w:pPr>
      <w:r>
        <w:rPr>
          <w:rtl w:val="0"/>
          <w:lang w:val="en-US"/>
        </w:rPr>
        <w:t>The 6 key elements of the practice DNA:</w:t>
      </w:r>
    </w:p>
    <w:p>
      <w:pPr>
        <w:pStyle w:val="Body"/>
        <w:spacing w:after="0" w:line="240" w:lineRule="auto"/>
      </w:pPr>
    </w:p>
    <w:p>
      <w:pPr>
        <w:pStyle w:val="Body"/>
        <w:numPr>
          <w:ilvl w:val="1"/>
          <w:numId w:val="2"/>
        </w:numPr>
      </w:pPr>
      <w:r>
        <w:rPr>
          <w:rtl w:val="0"/>
          <w:lang w:val="en-US"/>
        </w:rPr>
        <w:t xml:space="preserve">Vision and the Why </w:t>
      </w:r>
    </w:p>
    <w:p>
      <w:pPr>
        <w:pStyle w:val="Body"/>
        <w:numPr>
          <w:ilvl w:val="1"/>
          <w:numId w:val="2"/>
        </w:numPr>
      </w:pPr>
      <w:r>
        <w:rPr>
          <w:rtl w:val="0"/>
          <w:lang w:val="en-US"/>
        </w:rPr>
        <w:t>Structure and Role Clarity</w:t>
      </w:r>
    </w:p>
    <w:p>
      <w:pPr>
        <w:pStyle w:val="Body"/>
        <w:numPr>
          <w:ilvl w:val="1"/>
          <w:numId w:val="2"/>
        </w:numPr>
      </w:pPr>
      <w:r>
        <w:rPr>
          <w:rtl w:val="0"/>
          <w:lang w:val="en-US"/>
        </w:rPr>
        <w:t>Team Dynamic</w:t>
      </w:r>
    </w:p>
    <w:p>
      <w:pPr>
        <w:pStyle w:val="Body"/>
        <w:numPr>
          <w:ilvl w:val="1"/>
          <w:numId w:val="2"/>
        </w:numPr>
      </w:pPr>
      <w:r>
        <w:rPr>
          <w:rtl w:val="0"/>
          <w:lang w:val="en-US"/>
        </w:rPr>
        <w:t>Flow of Information</w:t>
      </w:r>
    </w:p>
    <w:p>
      <w:pPr>
        <w:pStyle w:val="Body"/>
        <w:numPr>
          <w:ilvl w:val="1"/>
          <w:numId w:val="2"/>
        </w:numPr>
      </w:pPr>
      <w:r>
        <w:rPr>
          <w:rtl w:val="0"/>
          <w:lang w:val="en-US"/>
        </w:rPr>
        <w:t>Leadership Philosophy</w:t>
      </w:r>
    </w:p>
    <w:p>
      <w:pPr>
        <w:pStyle w:val="Body"/>
        <w:numPr>
          <w:ilvl w:val="1"/>
          <w:numId w:val="2"/>
        </w:numPr>
      </w:pPr>
      <w:r>
        <w:rPr>
          <w:rtl w:val="0"/>
          <w:lang w:val="en-US"/>
        </w:rPr>
        <w:t>Emotional Environment</w:t>
      </w:r>
    </w:p>
    <w:p>
      <w:pPr>
        <w:pStyle w:val="Body"/>
      </w:pPr>
      <w:r>
        <w:rPr>
          <w:i w:val="1"/>
          <w:iCs w:val="1"/>
          <w:rtl w:val="0"/>
          <w:lang w:val="en-US"/>
        </w:rPr>
        <w:t>People will forget what you said, people will forget what you did, but people will never forget how you made them feel</w:t>
      </w:r>
      <w:r>
        <w:rPr>
          <w:i w:val="1"/>
          <w:iCs w:val="1"/>
          <w:rtl w:val="0"/>
          <w:lang w:val="en-US"/>
        </w:rPr>
        <w:t xml:space="preserve"> -</w:t>
      </w:r>
      <w:r>
        <w:rPr>
          <w:b w:val="1"/>
          <w:bCs w:val="1"/>
          <w:i w:val="1"/>
          <w:iCs w:val="1"/>
          <w:rtl w:val="0"/>
          <w:lang w:val="en-US"/>
        </w:rPr>
        <w:t xml:space="preserve"> </w:t>
      </w:r>
      <w:r>
        <w:rPr>
          <w:rtl w:val="0"/>
          <w:lang w:val="en-US"/>
        </w:rPr>
        <w:t>Maya Angelo</w:t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454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Gill San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w:drawing>
        <wp:inline distT="0" distB="0" distL="0" distR="0">
          <wp:extent cx="1985529" cy="690916"/>
          <wp:effectExtent l="0" t="0" r="0" b="0"/>
          <wp:docPr id="1073741825" name="officeArt object" descr="M:\Events\Internal\RMA Conference\Logo\46683 RMA 2017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:\Events\Internal\RMA Conference\Logo\46683 RMA 2017 logo.jpg" descr="M:\Events\Internal\RMA Conference\Logo\46683 RMA 2017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529" cy="6909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