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line="240" w:lineRule="auto"/>
        <w:rPr>
          <w:rFonts w:ascii="Arial" w:hAnsi="Arial"/>
          <w:sz w:val="20"/>
          <w:szCs w:val="20"/>
        </w:rPr>
      </w:pPr>
    </w:p>
    <w:p>
      <w:pPr>
        <w:pStyle w:val="Body"/>
        <w:spacing w:after="0" w:line="240" w:lineRule="auto"/>
        <w:rPr>
          <w:rFonts w:ascii="Arial" w:hAnsi="Arial"/>
          <w:b w:val="1"/>
          <w:bCs w:val="1"/>
          <w:sz w:val="20"/>
          <w:szCs w:val="20"/>
        </w:rPr>
      </w:pPr>
    </w:p>
    <w:p>
      <w:pPr>
        <w:pStyle w:val="Body"/>
        <w:spacing w:after="0" w:line="240" w:lineRule="auto"/>
        <w:rPr>
          <w:rFonts w:ascii="Arial" w:cs="Arial" w:hAnsi="Arial" w:eastAsia="Arial"/>
          <w:b w:val="1"/>
          <w:bCs w:val="1"/>
          <w:sz w:val="20"/>
          <w:szCs w:val="20"/>
        </w:rPr>
      </w:pPr>
      <w:r>
        <w:rPr>
          <w:rFonts w:ascii="Arial" w:hAnsi="Arial"/>
          <w:b w:val="1"/>
          <w:bCs w:val="1"/>
          <w:sz w:val="20"/>
          <w:szCs w:val="20"/>
          <w:rtl w:val="0"/>
          <w:lang w:val="en-US"/>
        </w:rPr>
        <w:t xml:space="preserve">Presentation title: </w:t>
      </w:r>
    </w:p>
    <w:p>
      <w:pPr>
        <w:pStyle w:val="Body"/>
        <w:spacing w:after="0" w:line="240" w:lineRule="auto"/>
        <w:rPr>
          <w:rFonts w:ascii="Arial" w:cs="Arial" w:hAnsi="Arial" w:eastAsia="Arial"/>
          <w:b w:val="1"/>
          <w:bCs w:val="1"/>
          <w:sz w:val="20"/>
          <w:szCs w:val="20"/>
        </w:rPr>
      </w:pPr>
      <w:r>
        <w:rPr>
          <w:rFonts w:ascii="Arial" w:hAnsi="Arial"/>
          <w:sz w:val="20"/>
          <w:szCs w:val="20"/>
          <w:rtl w:val="0"/>
          <w:lang w:val="en-US"/>
        </w:rPr>
        <w:t xml:space="preserve">Teledermatology: The role for both live and store-and-forward infrastructure as illustrated by a series of paediatric teledermatology cases. </w:t>
      </w:r>
    </w:p>
    <w:p>
      <w:pPr>
        <w:pStyle w:val="Body"/>
        <w:spacing w:after="0" w:line="240" w:lineRule="auto"/>
        <w:rPr>
          <w:rFonts w:ascii="Arial" w:cs="Arial" w:hAnsi="Arial" w:eastAsia="Arial"/>
          <w:b w:val="1"/>
          <w:bCs w:val="1"/>
          <w:sz w:val="20"/>
          <w:szCs w:val="20"/>
        </w:rPr>
      </w:pPr>
    </w:p>
    <w:p>
      <w:pPr>
        <w:pStyle w:val="Body"/>
        <w:spacing w:after="0" w:line="240" w:lineRule="auto"/>
        <w:rPr>
          <w:rFonts w:ascii="Arial" w:cs="Arial" w:hAnsi="Arial" w:eastAsia="Arial"/>
          <w:sz w:val="20"/>
          <w:szCs w:val="20"/>
        </w:rPr>
      </w:pPr>
      <w:r>
        <w:rPr>
          <w:rFonts w:ascii="Arial" w:hAnsi="Arial"/>
          <w:b w:val="1"/>
          <w:bCs w:val="1"/>
          <w:sz w:val="20"/>
          <w:szCs w:val="20"/>
          <w:rtl w:val="0"/>
          <w:lang w:val="de-DE"/>
        </w:rPr>
        <w:t>Abstract</w:t>
      </w:r>
      <w:r>
        <w:rPr>
          <w:rFonts w:ascii="Arial" w:hAnsi="Arial"/>
          <w:sz w:val="20"/>
          <w:szCs w:val="20"/>
          <w:rtl w:val="0"/>
          <w:lang w:val="en-US"/>
        </w:rPr>
        <w:t xml:space="preserve"> (max. 300 words): </w:t>
      </w:r>
    </w:p>
    <w:p>
      <w:pPr>
        <w:pStyle w:val="Body"/>
        <w:spacing w:after="0" w:line="240" w:lineRule="auto"/>
        <w:rPr>
          <w:rFonts w:ascii="Arial" w:cs="Arial" w:hAnsi="Arial" w:eastAsia="Arial"/>
          <w:sz w:val="20"/>
          <w:szCs w:val="20"/>
        </w:rPr>
      </w:pPr>
    </w:p>
    <w:p>
      <w:pPr>
        <w:pStyle w:val="Body"/>
        <w:spacing w:after="0" w:line="240" w:lineRule="auto"/>
        <w:rPr>
          <w:rFonts w:ascii="Arial" w:cs="Arial" w:hAnsi="Arial" w:eastAsia="Arial"/>
          <w:sz w:val="20"/>
          <w:szCs w:val="20"/>
        </w:rPr>
      </w:pPr>
      <w:r>
        <w:rPr>
          <w:rFonts w:ascii="Arial" w:hAnsi="Arial"/>
          <w:sz w:val="20"/>
          <w:szCs w:val="20"/>
          <w:rtl w:val="0"/>
          <w:lang w:val="en-US"/>
        </w:rPr>
        <w:t>Within the burgeoning field of telemedicine, teledermatology exists as a relatively well established subdivision</w:t>
      </w:r>
      <w:r>
        <w:rPr>
          <w:rFonts w:ascii="Arial" w:cs="Arial" w:hAnsi="Arial" w:eastAsia="Arial"/>
          <w:sz w:val="20"/>
          <w:szCs w:val="20"/>
        </w:rPr>
        <w:fldChar w:fldCharType="begin" w:fldLock="0"/>
      </w:r>
      <w:r>
        <w:rPr>
          <w:rFonts w:ascii="Arial" w:cs="Arial" w:hAnsi="Arial" w:eastAsia="Arial"/>
          <w:sz w:val="20"/>
          <w:szCs w:val="20"/>
        </w:rPr>
        <w:instrText xml:space="preserve"> ADDIN EN.CITE &lt;EndNote&gt;&lt;Cite ExcludeAuth="1" ExcludeYear="1"&gt;&lt;Author&gt;Soyer, Hans Peter; Binder, Michael; Smith, Anthony C.&lt;/Author&gt;&lt;Year&gt;2011&lt;/Year&gt;&lt;RecNum&gt;13&lt;/RecNum&gt;&lt;Prefix&gt;1&lt;/Prefix&gt;&lt;Suffix&gt;&lt;/Suffix&gt;&lt;Pages&gt;&lt;/Pages&gt;&lt;DisplayText&gt;(1)&lt;/DisplayText&gt;&lt;record&gt;&lt;database name="LCCH Teledermatology Audit.enl" path="/Users/alexjames/Documents/LCCH Teledermatology Audit.enl"&gt;LCCH Teledermatology Audit.enl&lt;/database&gt;&lt;source-app name="EndNote" version="18.0"&gt;EndNote&lt;/source-app&gt;&lt;rec-number&gt;13&lt;/rec-number&gt;&lt;foreign-keys&gt;&lt;key app="EN" db-id="tf9rxdapcxzax2e5dftxrrr0r0w90ef9pvxa"&gt;13&lt;/key&gt;&lt;/foreign-keys&gt;&lt;ref-type name="Book"&gt;6&lt;/ref-type&gt;&lt;contributors&gt;&lt;authors&gt;&lt;author&gt;&lt;style face="normal" font="default" size="100%"&gt;Soyer, Hans Peter&lt;/style&gt;&lt;/author&gt;&lt;author&gt;&lt;style face="normal" font="default" size="100%"&gt;Binder, Michael&lt;/style&gt;&lt;/author&gt;&lt;author&gt;&lt;style face="normal" font="default" size="100%"&gt;Smith, Anthony C.&lt;/style&gt;&lt;/author&gt;&lt;/authors&gt;&lt;/contributors&gt;&lt;titles&gt;&lt;title&gt;&lt;style face="normal" font="default" size="100%"&gt;Telemedicine in Dermatology&lt;/style&gt;&lt;/title&gt;&lt;/titles&gt;&lt;keywords&gt;&lt;keyword&gt;&lt;style face="normal" font="default" size="100%"&gt;Dermatology&lt;/style&gt;&lt;/keyword&gt;&lt;keyword&gt;&lt;style face="normal" font="default" size="100%"&gt;Telecommunication in medicine&lt;/style&gt;&lt;/keyword&gt;&lt;keyword&gt;&lt;style face="normal" font="default" size="100%"&gt;Telecommunications&lt;/style&gt;&lt;/keyword&gt;&lt;keyword&gt;&lt;style face="normal" font="default" size="100%"&gt;Medicine&lt;/style&gt;&lt;/keyword&gt;&lt;keyword&gt;&lt;style face="normal" font="default" size="100%"&gt;Delivery of Health Care&lt;/style&gt;&lt;/keyword&gt;&lt;keyword&gt;&lt;style face="normal" font="default" size="100%"&gt;Health Occupations&lt;/style&gt;&lt;/keyword&gt;&lt;keyword&gt;&lt;style face="normal" font="default" size="100%"&gt;Patient Care Management&lt;/style&gt;&lt;/keyword&gt;&lt;keyword&gt;&lt;style face="normal" font="default" size="100%"&gt;Communications Media&lt;/style&gt;&lt;/keyword&gt;&lt;keyword&gt;&lt;style face="normal" font="default" size="100%"&gt;Disciplines and Occupations&lt;/style&gt;&lt;/keyword&gt;&lt;keyword&gt;&lt;style face="normal" font="default" size="100%"&gt;Information Science&lt;/style&gt;&lt;/keyword&gt;&lt;keyword&gt;&lt;style face="normal" font="default" size="100%"&gt;Health Services Administration&lt;/style&gt;&lt;/keyword&gt;&lt;keyword&gt;&lt;style face="normal" font="default" size="100%"&gt;Health Care&lt;/style&gt;&lt;/keyword&gt;&lt;keyword&gt;&lt;style face="normal" font="default" size="100%"&gt;Telemedicine&lt;/style&gt;&lt;/keyword&gt;&lt;keyword&gt;&lt;style face="normal" font="default" size="100%"&gt;Health &amp;amp; Biological Sciences&lt;/style&gt;&lt;/keyword&gt;&lt;keyword&gt;&lt;style face="normal" font="default" size="100%"&gt;Medicine - General&lt;/style&gt;&lt;/keyword&gt;&lt;keyword&gt;&lt;style face="normal" font="default" size="100%"&gt;Electronic books&lt;/style&gt;&lt;/keyword&gt;&lt;/keywords&gt;&lt;dates&gt;&lt;year&gt;&lt;style face="normal" font="default" size="100%"&gt;2011&lt;/style&gt;&lt;/year&gt;&lt;/dates&gt;&lt;pub-location&gt;&lt;style face="normal" font="default" size="100%"&gt;Berlin&lt;/style&gt;&lt;/pub-location&gt;&lt;publisher&gt;&lt;style face="normal" font="default" size="100%"&gt;Heidelberg&lt;/style&gt;&lt;/publisher&gt;&lt;abstract&gt;&lt;style face="normal" font="default" size="100%"&gt;Written by leading teledermatologists and telemedicine experts, this hands-on guide addresses the practical needs of the many emerging teledermatology services worldwide. It covers the medical and technical prerequisites for such services as well as the photographic imaging essentials. It also illustrates the performance of teledermatology by means of clinical examples, discusses teledermatology in underdeveloped countries, and presents specialized methods of teledermatology. The impact of telemedicine on the doctor-patient relationship is explored, and the advantages that accrue from improvin&lt;/style&gt;&lt;/abstract&gt;&lt;notes&gt;&lt;style face="normal" font="default" size="100%"&gt;(Online service)&lt;/style&gt;&lt;/notes&gt;&lt;urls&gt;&lt;pdf-urls&gt;&lt;url&gt;internal-pdf://3516616717/Telemedecine in Dermatology - Prof Soyer.pdf&lt;/url&gt;&lt;/pdf-urls&gt;&lt;/urls&gt;&lt;/record&gt;&lt;/Cite&gt;&lt;/EndNote&gt;</w:instrText>
      </w:r>
      <w:r>
        <w:rPr>
          <w:rFonts w:ascii="Arial" w:cs="Arial" w:hAnsi="Arial" w:eastAsia="Arial"/>
          <w:sz w:val="20"/>
          <w:szCs w:val="20"/>
        </w:rPr>
        <w:fldChar w:fldCharType="separate" w:fldLock="0"/>
      </w:r>
      <w:r>
        <w:rPr>
          <w:rFonts w:ascii="Arial" w:hAnsi="Arial"/>
          <w:sz w:val="20"/>
          <w:szCs w:val="20"/>
          <w:rtl w:val="0"/>
        </w:rPr>
        <w:t>(1)</w:t>
      </w:r>
      <w:r>
        <w:rPr>
          <w:rFonts w:ascii="Arial" w:cs="Arial" w:hAnsi="Arial" w:eastAsia="Arial"/>
          <w:sz w:val="20"/>
          <w:szCs w:val="20"/>
        </w:rPr>
        <w:fldChar w:fldCharType="end" w:fldLock="0"/>
      </w:r>
      <w:r>
        <w:rPr>
          <w:rFonts w:ascii="Arial" w:hAnsi="Arial"/>
          <w:sz w:val="20"/>
          <w:szCs w:val="20"/>
          <w:rtl w:val="0"/>
          <w:lang w:val="en-US"/>
        </w:rPr>
        <w:t>. The types of teledermatology services can be broken down into two groups: store-and-foward teledermatology, where still images are transferred to a remote dermatologist for review and opinion, and live teledermatology, where a patient and dermatologist undertake a face-to-face appointment via an internet connection and computerised camera equipment</w:t>
      </w:r>
      <w:r>
        <w:rPr>
          <w:rFonts w:ascii="Arial" w:cs="Arial" w:hAnsi="Arial" w:eastAsia="Arial"/>
          <w:sz w:val="20"/>
          <w:szCs w:val="20"/>
        </w:rPr>
        <w:fldChar w:fldCharType="begin" w:fldLock="0"/>
      </w:r>
      <w:r>
        <w:rPr>
          <w:rFonts w:ascii="Arial" w:cs="Arial" w:hAnsi="Arial" w:eastAsia="Arial"/>
          <w:sz w:val="20"/>
          <w:szCs w:val="20"/>
        </w:rPr>
        <w:instrText xml:space="preserve"> ADDIN EN.CITE &lt;EndNote&gt;&lt;Cite ExcludeAuth="1" ExcludeYear="1"&gt;&lt;Author&gt;American Academy of Dermatology&lt;/Author&gt;&lt;Year&gt;2016&lt;/Year&gt;&lt;RecNum&gt;18&lt;/RecNum&gt;&lt;Prefix&gt;2&lt;/Prefix&gt;&lt;Suffix&gt;&lt;/Suffix&gt;&lt;Pages&gt;&lt;/Pages&gt;&lt;DisplayText&gt;(2)&lt;/DisplayText&gt;&lt;record&gt;&lt;database name="LCCH Teledermatology Audit.enl" path="/Users/alexjames/Documents/LCCH Teledermatology Audit.enl"&gt;LCCH Teledermatology Audit.enl&lt;/database&gt;&lt;source-app name="EndNote" version="18.0"&gt;EndNote&lt;/source-app&gt;&lt;rec-number&gt;18&lt;/rec-number&gt;&lt;foreign-keys&gt;&lt;key app="EN" db-id="tf9rxdapcxzax2e5dftxrrr0r0w90ef9pvxa"&gt;18&lt;/key&gt;&lt;/foreign-keys&gt;&lt;ref-type name="Journal Article"&gt;17&lt;/ref-type&gt;&lt;contributors&gt;&lt;authors&gt;&lt;author&gt;&lt;style face="normal" font="default" size="100%"&gt;American Academy of Dermatology&lt;/style&gt;&lt;/author&gt;&lt;/authors&gt;&lt;/contributors&gt;&lt;titles&gt;&lt;title&gt;&lt;style face="normal" font="default" size="100%"&gt;Position Statement on Teledermatology&lt;/style&gt;&lt;/title&gt;&lt;secondary-title&gt;&lt;style face="normal" font="default" size="100%"&gt;Position Statements&lt;/style&gt;&lt;/secondary-title&gt;&lt;/titles&gt;&lt;periodical&gt;&lt;full-title&gt;&lt;style face="normal" font="default" size="100%"&gt;Position Statements&lt;/style&gt;&lt;/full-title&gt;&lt;/periodical&gt;&lt;dates&gt;&lt;year&gt;&lt;style face="normal" font="default" size="100%"&gt;2016&lt;/style&gt;&lt;/year&gt;&lt;/dates&gt;&lt;urls&gt;&lt;related-urls&gt;&lt;url&gt;&lt;style face="normal" font="default" size="100%"&gt;https://www.aad.org/Forms/Policies/Uploads/PS/PS-Teledermatology.pdf&lt;/style&gt;&lt;/url&gt;&lt;/related-urls&gt;&lt;pdf-urls&gt;&lt;url&gt;internal-pdf://3172686009/PS-Teledermatology.pdf&lt;/url&gt;&lt;/pdf-urls&gt;&lt;/urls&gt;&lt;/record&gt;&lt;/Cite&gt;&lt;/EndNote&gt;</w:instrText>
      </w:r>
      <w:r>
        <w:rPr>
          <w:rFonts w:ascii="Arial" w:cs="Arial" w:hAnsi="Arial" w:eastAsia="Arial"/>
          <w:sz w:val="20"/>
          <w:szCs w:val="20"/>
        </w:rPr>
        <w:fldChar w:fldCharType="separate" w:fldLock="0"/>
      </w:r>
      <w:r>
        <w:rPr>
          <w:rFonts w:ascii="Arial" w:hAnsi="Arial"/>
          <w:sz w:val="20"/>
          <w:szCs w:val="20"/>
          <w:rtl w:val="0"/>
        </w:rPr>
        <w:t>(2)</w:t>
      </w:r>
      <w:r>
        <w:rPr>
          <w:rFonts w:ascii="Arial" w:cs="Arial" w:hAnsi="Arial" w:eastAsia="Arial"/>
          <w:sz w:val="20"/>
          <w:szCs w:val="20"/>
        </w:rPr>
        <w:fldChar w:fldCharType="end" w:fldLock="0"/>
      </w:r>
      <w:r>
        <w:rPr>
          <w:rFonts w:ascii="Arial" w:hAnsi="Arial"/>
          <w:sz w:val="20"/>
          <w:szCs w:val="20"/>
          <w:rtl w:val="0"/>
          <w:lang w:val="en-US"/>
        </w:rPr>
        <w:t xml:space="preserve">. </w:t>
      </w:r>
    </w:p>
    <w:p>
      <w:pPr>
        <w:pStyle w:val="Body"/>
        <w:spacing w:after="0" w:line="240" w:lineRule="auto"/>
        <w:rPr>
          <w:rFonts w:ascii="Arial" w:cs="Arial" w:hAnsi="Arial" w:eastAsia="Arial"/>
          <w:sz w:val="20"/>
          <w:szCs w:val="20"/>
        </w:rPr>
      </w:pPr>
    </w:p>
    <w:p>
      <w:pPr>
        <w:pStyle w:val="Body"/>
        <w:spacing w:after="0" w:line="240" w:lineRule="auto"/>
        <w:rPr>
          <w:rFonts w:ascii="Arial" w:cs="Arial" w:hAnsi="Arial" w:eastAsia="Arial"/>
          <w:sz w:val="20"/>
          <w:szCs w:val="20"/>
        </w:rPr>
      </w:pPr>
      <w:r>
        <w:rPr>
          <w:rFonts w:ascii="Arial" w:hAnsi="Arial"/>
          <w:sz w:val="20"/>
          <w:szCs w:val="20"/>
          <w:rtl w:val="0"/>
          <w:lang w:val="en-US"/>
        </w:rPr>
        <w:t>Live teledermatology has typically been favoured for large-scale implementation due to its adherence to the traditional doctor-patient format, however tends to be less time efficient and more expensive to set up in terms of infrastructure. Early store-and-forward teledermatology services have at times been deemed less acceptable, with issues such as data storage and security, image quality and inter-device reliability described as limitations</w:t>
      </w:r>
      <w:r>
        <w:rPr>
          <w:rFonts w:ascii="Arial" w:cs="Arial" w:hAnsi="Arial" w:eastAsia="Arial"/>
          <w:sz w:val="20"/>
          <w:szCs w:val="20"/>
        </w:rPr>
        <w:fldChar w:fldCharType="begin" w:fldLock="0"/>
      </w:r>
      <w:r>
        <w:rPr>
          <w:rFonts w:ascii="Arial" w:cs="Arial" w:hAnsi="Arial" w:eastAsia="Arial"/>
          <w:sz w:val="20"/>
          <w:szCs w:val="20"/>
        </w:rPr>
        <w:instrText xml:space="preserve"> ADDIN EN.CITE &lt;EndNote&gt;&lt;Cite ExcludeAuth="1" ExcludeYear="1"&gt;&lt;Author&gt;Feroze, Kaliyadan&lt;/Author&gt;&lt;Year&gt;2008&lt;/Year&gt;&lt;Prefix&gt;3&lt;/Prefix&gt;&lt;Suffix&gt;&lt;/Suffix&gt;&lt;Pages&gt;&lt;/Pages&gt;&lt;DisplayText&gt;(3)&lt;/DisplayText&gt;&lt;record&gt;&lt;database name="LCCH Teledermatology Audit.enl" path="/Users/alexjames/Documents/LCCH Teledermatology Audit.enl"&gt;LCCH Teledermatology Audit.enl&lt;/database&gt;&lt;source-app name="EndNote" version="18.0"&gt;EndNote&lt;/source-app&gt;&lt;rec-number&gt;9&lt;/rec-number&gt;&lt;foreign-keys&gt;&lt;key app="EN" db-id="tf9rxdapcxzax2e5dftxrrr0r0w90ef9pvxa"&gt;9&lt;/key&gt;&lt;/foreign-keys&gt;&lt;ref-type name="Journal Article"&gt;17&lt;/ref-type&gt;&lt;contributors&gt;&lt;authors&gt;&lt;author&gt;&lt;style face="normal" font="default" size="100%"&gt;Feroze, Kaliyadan&lt;/style&gt;&lt;/author&gt;&lt;/authors&gt;&lt;/contributors&gt;&lt;titles&gt;&lt;title&gt;&lt;style face="normal" font="default" size="100%"&gt;Teledermatology in India: Practical implications&lt;/style&gt;&lt;/title&gt;&lt;secondary-title&gt;&lt;style face="normal" font="default" size="100%"&gt;Indian Journal of Medical Sciences&lt;/style&gt;&lt;/secondary-title&gt;&lt;/titles&gt;&lt;periodical&gt;&lt;full-title&gt;&lt;style face="normal" font="default" size="100%"&gt;Indian Journal of Medical Sciences&lt;/style&gt;&lt;/full-title&gt;&lt;/periodical&gt;&lt;pages&gt;&lt;style face="normal" font="default" size="100%"&gt;208-214&lt;/style&gt;&lt;/pages&gt;&lt;volume&gt;&lt;style face="normal" font="default" size="100%"&gt;62&lt;/style&gt;&lt;/volume&gt;&lt;number&gt;&lt;style face="normal" font="default" size="100%"&gt;5&lt;/style&gt;&lt;/number&gt;&lt;keywords&gt;&lt;keyword&gt;&lt;style face="normal" font="default" size="100%"&gt;Interactive video consultation&lt;/style&gt;&lt;/keyword&gt;&lt;keyword&gt;&lt;style face="normal" font="default" size="100%"&gt;′store and forward′ technology&lt;/style&gt;&lt;/keyword&gt;&lt;keyword&gt;&lt;style face="normal" font="default" size="100%"&gt;teledermatology&lt;/style&gt;&lt;/keyword&gt;&lt;/keywords&gt;&lt;dates&gt;&lt;year&gt;&lt;style face="normal" font="default" size="100%"&gt;2008&lt;/style&gt;&lt;/year&gt;&lt;/dates&gt;&lt;isbn&gt;&lt;style face="normal" font="default" size="100%"&gt;0019-5359&lt;/style&gt;&lt;/isbn&gt;&lt;abstract&gt;&lt;style face="normal" font="default" size="100%"&gt;Teledermatology is considered to be one of the solutions to the problem of inadequate number of dermatologists in remote parts of India. We present a brief account of the technological components involved in teledermatology in India, and an evaluation of the advantages and limitations of the use of teledermatology as a clinical tool.&lt;/style&gt;&lt;/abstract&gt;&lt;urls&gt;&lt;pdf-urls&gt;&lt;url&gt;internal-pdf://3172686010/Teledermatology in India - practical implicati.pdf&lt;/url&gt;&lt;/pdf-urls&gt;&lt;/urls&gt;&lt;electronic-resource-num&gt;&lt;style face="normal" font="default" size="100%"&gt;10.4103/0019-5359.40988&lt;/style&gt;&lt;/electronic-resource-num&gt;&lt;/record&gt;&lt;/Cite&gt;&lt;/EndNote&gt;</w:instrText>
      </w:r>
      <w:r>
        <w:rPr>
          <w:rFonts w:ascii="Arial" w:cs="Arial" w:hAnsi="Arial" w:eastAsia="Arial"/>
          <w:sz w:val="20"/>
          <w:szCs w:val="20"/>
        </w:rPr>
        <w:fldChar w:fldCharType="separate" w:fldLock="0"/>
      </w:r>
      <w:r>
        <w:rPr>
          <w:rFonts w:ascii="Arial" w:hAnsi="Arial"/>
          <w:sz w:val="20"/>
          <w:szCs w:val="20"/>
          <w:rtl w:val="0"/>
        </w:rPr>
        <w:t>(3)</w:t>
      </w:r>
      <w:r>
        <w:rPr>
          <w:rFonts w:ascii="Arial" w:cs="Arial" w:hAnsi="Arial" w:eastAsia="Arial"/>
          <w:sz w:val="20"/>
          <w:szCs w:val="20"/>
        </w:rPr>
        <w:fldChar w:fldCharType="end" w:fldLock="0"/>
      </w:r>
      <w:r>
        <w:rPr>
          <w:rFonts w:ascii="Arial" w:hAnsi="Arial"/>
          <w:sz w:val="20"/>
          <w:szCs w:val="20"/>
          <w:rtl w:val="0"/>
          <w:lang w:val="en-US"/>
        </w:rPr>
        <w:t>. With the advances in camera, mobile and email technology that have occurred over the past decade, modern store-and-forward services are proving increasingly streamlined, while offering the advantage of being fast and cost-effective</w:t>
      </w:r>
      <w:r>
        <w:rPr>
          <w:rFonts w:ascii="Arial" w:cs="Arial" w:hAnsi="Arial" w:eastAsia="Arial"/>
          <w:sz w:val="20"/>
          <w:szCs w:val="20"/>
        </w:rPr>
        <w:fldChar w:fldCharType="begin" w:fldLock="0"/>
      </w:r>
      <w:r>
        <w:rPr>
          <w:rFonts w:ascii="Arial" w:cs="Arial" w:hAnsi="Arial" w:eastAsia="Arial"/>
          <w:sz w:val="20"/>
          <w:szCs w:val="20"/>
        </w:rPr>
        <w:instrText xml:space="preserve"> ADDIN EN.CITE &lt;EndNote&gt;&lt;Cite ExcludeAuth="1" ExcludeYear="1"&gt;&lt;Author&gt;Soyer, Hans Peter; Binder, Michael; Smith, Anthony C.&lt;/Author&gt;&lt;Year&gt;2011&lt;/Year&gt;&lt;RecNum&gt;13&lt;/RecNum&gt;&lt;Prefix&gt;1&lt;/Prefix&gt;&lt;Suffix&gt;&lt;/Suffix&gt;&lt;Pages&gt;&lt;/Pages&gt;&lt;DisplayText&gt;(1)&lt;/DisplayText&gt;&lt;record&gt;&lt;database name="LCCH Teledermatology Audit.enl" path="/Users/alexjames/Documents/LCCH Teledermatology Audit.enl"&gt;LCCH Teledermatology Audit.enl&lt;/database&gt;&lt;source-app name="EndNote" version="18.0"&gt;EndNote&lt;/source-app&gt;&lt;rec-number&gt;13&lt;/rec-number&gt;&lt;foreign-keys&gt;&lt;key app="EN" db-id="tf9rxdapcxzax2e5dftxrrr0r0w90ef9pvxa"&gt;13&lt;/key&gt;&lt;/foreign-keys&gt;&lt;ref-type name="Book"&gt;6&lt;/ref-type&gt;&lt;contributors&gt;&lt;authors&gt;&lt;author&gt;&lt;style face="normal" font="default" size="100%"&gt;Soyer, Hans Peter&lt;/style&gt;&lt;/author&gt;&lt;author&gt;&lt;style face="normal" font="default" size="100%"&gt;Binder, Michael&lt;/style&gt;&lt;/author&gt;&lt;author&gt;&lt;style face="normal" font="default" size="100%"&gt;Smith, Anthony C.&lt;/style&gt;&lt;/author&gt;&lt;/authors&gt;&lt;/contributors&gt;&lt;titles&gt;&lt;title&gt;&lt;style face="normal" font="default" size="100%"&gt;Telemedicine in Dermatology&lt;/style&gt;&lt;/title&gt;&lt;/titles&gt;&lt;keywords&gt;&lt;keyword&gt;&lt;style face="normal" font="default" size="100%"&gt;Dermatology&lt;/style&gt;&lt;/keyword&gt;&lt;keyword&gt;&lt;style face="normal" font="default" size="100%"&gt;Telecommunication in medicine&lt;/style&gt;&lt;/keyword&gt;&lt;keyword&gt;&lt;style face="normal" font="default" size="100%"&gt;Telecommunications&lt;/style&gt;&lt;/keyword&gt;&lt;keyword&gt;&lt;style face="normal" font="default" size="100%"&gt;Medicine&lt;/style&gt;&lt;/keyword&gt;&lt;keyword&gt;&lt;style face="normal" font="default" size="100%"&gt;Delivery of Health Care&lt;/style&gt;&lt;/keyword&gt;&lt;keyword&gt;&lt;style face="normal" font="default" size="100%"&gt;Health Occupations&lt;/style&gt;&lt;/keyword&gt;&lt;keyword&gt;&lt;style face="normal" font="default" size="100%"&gt;Patient Care Management&lt;/style&gt;&lt;/keyword&gt;&lt;keyword&gt;&lt;style face="normal" font="default" size="100%"&gt;Communications Media&lt;/style&gt;&lt;/keyword&gt;&lt;keyword&gt;&lt;style face="normal" font="default" size="100%"&gt;Disciplines and Occupations&lt;/style&gt;&lt;/keyword&gt;&lt;keyword&gt;&lt;style face="normal" font="default" size="100%"&gt;Information Science&lt;/style&gt;&lt;/keyword&gt;&lt;keyword&gt;&lt;style face="normal" font="default" size="100%"&gt;Health Services Administration&lt;/style&gt;&lt;/keyword&gt;&lt;keyword&gt;&lt;style face="normal" font="default" size="100%"&gt;Health Care&lt;/style&gt;&lt;/keyword&gt;&lt;keyword&gt;&lt;style face="normal" font="default" size="100%"&gt;Telemedicine&lt;/style&gt;&lt;/keyword&gt;&lt;keyword&gt;&lt;style face="normal" font="default" size="100%"&gt;Health &amp;amp; Biological Sciences&lt;/style&gt;&lt;/keyword&gt;&lt;keyword&gt;&lt;style face="normal" font="default" size="100%"&gt;Medicine - General&lt;/style&gt;&lt;/keyword&gt;&lt;keyword&gt;&lt;style face="normal" font="default" size="100%"&gt;Electronic books&lt;/style&gt;&lt;/keyword&gt;&lt;/keywords&gt;&lt;dates&gt;&lt;year&gt;&lt;style face="normal" font="default" size="100%"&gt;2011&lt;/style&gt;&lt;/year&gt;&lt;/dates&gt;&lt;pub-location&gt;&lt;style face="normal" font="default" size="100%"&gt;Berlin&lt;/style&gt;&lt;/pub-location&gt;&lt;publisher&gt;&lt;style face="normal" font="default" size="100%"&gt;Heidelberg&lt;/style&gt;&lt;/publisher&gt;&lt;abstract&gt;&lt;style face="normal" font="default" size="100%"&gt;Written by leading teledermatologists and telemedicine experts, this hands-on guide addresses the practical needs of the many emerging teledermatology services worldwide. It covers the medical and technical prerequisites for such services as well as the photographic imaging essentials. It also illustrates the performance of teledermatology by means of clinical examples, discusses teledermatology in underdeveloped countries, and presents specialized methods of teledermatology. The impact of telemedicine on the doctor-patient relationship is explored, and the advantages that accrue from improvin&lt;/style&gt;&lt;/abstract&gt;&lt;notes&gt;&lt;style face="normal" font="default" size="100%"&gt;(Online service)&lt;/style&gt;&lt;/notes&gt;&lt;urls&gt;&lt;pdf-urls&gt;&lt;url&gt;internal-pdf://3516616717/Telemedecine in Dermatology - Prof Soyer.pdf&lt;/url&gt;&lt;/pdf-urls&gt;&lt;/urls&gt;&lt;/record&gt;&lt;/Cite&gt;&lt;/EndNote&gt;</w:instrText>
      </w:r>
      <w:r>
        <w:rPr>
          <w:rFonts w:ascii="Arial" w:cs="Arial" w:hAnsi="Arial" w:eastAsia="Arial"/>
          <w:sz w:val="20"/>
          <w:szCs w:val="20"/>
        </w:rPr>
        <w:fldChar w:fldCharType="separate" w:fldLock="0"/>
      </w:r>
      <w:r>
        <w:rPr>
          <w:rFonts w:ascii="Arial" w:hAnsi="Arial"/>
          <w:sz w:val="20"/>
          <w:szCs w:val="20"/>
          <w:rtl w:val="0"/>
        </w:rPr>
        <w:t>(1)</w:t>
      </w:r>
      <w:r>
        <w:rPr>
          <w:rFonts w:ascii="Arial" w:cs="Arial" w:hAnsi="Arial" w:eastAsia="Arial"/>
          <w:sz w:val="20"/>
          <w:szCs w:val="20"/>
        </w:rPr>
        <w:fldChar w:fldCharType="end" w:fldLock="0"/>
      </w:r>
      <w:r>
        <w:rPr>
          <w:rFonts w:ascii="Arial" w:hAnsi="Arial"/>
          <w:sz w:val="20"/>
          <w:szCs w:val="20"/>
          <w:rtl w:val="0"/>
          <w:lang w:val="en-US"/>
        </w:rPr>
        <w:t xml:space="preserve">.  Both forms of teledermatology however, maintain an important role in provision of a complete service. </w:t>
      </w:r>
    </w:p>
    <w:p>
      <w:pPr>
        <w:pStyle w:val="Body"/>
        <w:spacing w:after="0" w:line="240" w:lineRule="auto"/>
        <w:rPr>
          <w:rFonts w:ascii="Arial" w:cs="Arial" w:hAnsi="Arial" w:eastAsia="Arial"/>
          <w:sz w:val="20"/>
          <w:szCs w:val="20"/>
        </w:rPr>
      </w:pPr>
    </w:p>
    <w:p>
      <w:pPr>
        <w:pStyle w:val="Body"/>
        <w:spacing w:after="0" w:line="240" w:lineRule="auto"/>
        <w:rPr>
          <w:rFonts w:ascii="Arial" w:cs="Arial" w:hAnsi="Arial" w:eastAsia="Arial"/>
          <w:sz w:val="20"/>
          <w:szCs w:val="20"/>
        </w:rPr>
      </w:pPr>
      <w:r>
        <w:rPr>
          <w:rFonts w:ascii="Arial" w:hAnsi="Arial"/>
          <w:sz w:val="20"/>
          <w:szCs w:val="20"/>
          <w:rtl w:val="0"/>
          <w:lang w:val="en-US"/>
        </w:rPr>
        <w:t>The year 2017 has seen the roll-out of a new paediatric teledermatology service at the Lady Cilento Children</w:t>
      </w:r>
      <w:r>
        <w:rPr>
          <w:rFonts w:ascii="Arial" w:hAnsi="Arial" w:hint="default"/>
          <w:sz w:val="20"/>
          <w:szCs w:val="20"/>
          <w:rtl w:val="0"/>
          <w:lang w:val="en-US"/>
        </w:rPr>
        <w:t>’</w:t>
      </w:r>
      <w:r>
        <w:rPr>
          <w:rFonts w:ascii="Arial" w:hAnsi="Arial"/>
          <w:sz w:val="20"/>
          <w:szCs w:val="20"/>
          <w:rtl w:val="0"/>
          <w:lang w:val="en-US"/>
        </w:rPr>
        <w:t>s Hospital in Queensland. This service provides a formalised conduit of referral for general practitioners and  other hospital specialists to access tertiary-level paediatric dermatology advice. We provide a description of the importance of a teledermatology service incorporating both store-and-forward, as well as live appointments, as illustrated by a series of cases seen through the service.</w:t>
      </w:r>
    </w:p>
    <w:p>
      <w:pPr>
        <w:pStyle w:val="Body"/>
        <w:spacing w:after="0" w:line="240" w:lineRule="auto"/>
        <w:rPr>
          <w:rFonts w:ascii="Arial" w:cs="Arial" w:hAnsi="Arial" w:eastAsia="Arial"/>
          <w:sz w:val="20"/>
          <w:szCs w:val="20"/>
        </w:rPr>
      </w:pPr>
    </w:p>
    <w:p>
      <w:pPr>
        <w:pStyle w:val="Heading"/>
        <w:bidi w:val="0"/>
        <w:rPr>
          <w:rFonts w:ascii="Arial" w:cs="Arial" w:hAnsi="Arial" w:eastAsia="Arial"/>
          <w:sz w:val="20"/>
          <w:szCs w:val="20"/>
        </w:rPr>
      </w:pPr>
      <w:r>
        <w:rPr>
          <w:rFonts w:ascii="Arial" w:hAnsi="Arial"/>
          <w:sz w:val="20"/>
          <w:szCs w:val="20"/>
          <w:rtl w:val="0"/>
          <w:lang w:val="en-US"/>
        </w:rPr>
        <w:t>References</w:t>
      </w:r>
    </w:p>
    <w:p>
      <w:pPr>
        <w:pStyle w:val="Body"/>
        <w:rPr>
          <w:rFonts w:ascii="Arial" w:cs="Arial" w:hAnsi="Arial" w:eastAsia="Arial"/>
          <w:sz w:val="20"/>
          <w:szCs w:val="20"/>
        </w:rPr>
      </w:pPr>
      <w:r>
        <w:rPr>
          <w:rFonts w:ascii="Arial" w:hAnsi="Arial"/>
          <w:sz w:val="20"/>
          <w:szCs w:val="20"/>
          <w:rtl w:val="0"/>
          <w:lang w:val="en-US"/>
        </w:rPr>
        <w:t>1.</w:t>
        <w:tab/>
        <w:t>Soyer HP, Binder M, Smith AC. Telemedicine in Dermatology. Berlin: Heidelberg; 2011.</w:t>
      </w:r>
    </w:p>
    <w:p>
      <w:pPr>
        <w:pStyle w:val="Body"/>
        <w:rPr>
          <w:rFonts w:ascii="Arial" w:cs="Arial" w:hAnsi="Arial" w:eastAsia="Arial"/>
          <w:sz w:val="20"/>
          <w:szCs w:val="20"/>
        </w:rPr>
      </w:pPr>
      <w:r>
        <w:rPr>
          <w:rFonts w:ascii="Arial" w:hAnsi="Arial"/>
          <w:sz w:val="20"/>
          <w:szCs w:val="20"/>
          <w:rtl w:val="0"/>
        </w:rPr>
        <w:t>2.</w:t>
        <w:tab/>
      </w:r>
      <w:r>
        <w:rPr>
          <w:rFonts w:ascii="Arial" w:hAnsi="Arial"/>
          <w:sz w:val="20"/>
          <w:szCs w:val="20"/>
          <w:rtl w:val="0"/>
          <w:lang w:val="en-US"/>
        </w:rPr>
        <w:t>American Academy of Dermatology</w:t>
      </w:r>
      <w:r>
        <w:rPr>
          <w:rFonts w:ascii="Arial" w:hAnsi="Arial"/>
          <w:sz w:val="20"/>
          <w:szCs w:val="20"/>
          <w:rtl w:val="0"/>
          <w:lang w:val="en-US"/>
        </w:rPr>
        <w:t>. Position Statement on Teledermatology. Position Statements. 2016.</w:t>
      </w:r>
    </w:p>
    <w:p>
      <w:pPr>
        <w:pStyle w:val="Body"/>
        <w:rPr>
          <w:rFonts w:ascii="Arial" w:cs="Arial" w:hAnsi="Arial" w:eastAsia="Arial"/>
          <w:sz w:val="20"/>
          <w:szCs w:val="20"/>
        </w:rPr>
      </w:pPr>
      <w:r>
        <w:rPr>
          <w:rFonts w:ascii="Arial" w:hAnsi="Arial"/>
          <w:sz w:val="20"/>
          <w:szCs w:val="20"/>
          <w:rtl w:val="0"/>
          <w:lang w:val="en-US"/>
        </w:rPr>
        <w:t>3.</w:t>
        <w:tab/>
        <w:t>Feroze K. Teledermatology in India: Practical implications. Indian Journal of Medical Sciences. 2008;62(5):208-14.</w:t>
      </w:r>
    </w:p>
    <w:sectPr>
      <w:headerReference w:type="default" r:id="rId4"/>
      <w:footerReference w:type="default" r:id="rId5"/>
      <w:pgSz w:w="11900" w:h="16840" w:orient="portrait"/>
      <w:pgMar w:top="720" w:right="720" w:bottom="720" w:left="720" w:header="454"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drawing>
        <wp:inline distT="0" distB="0" distL="0" distR="0">
          <wp:extent cx="1985529" cy="690916"/>
          <wp:effectExtent l="0" t="0" r="0" b="0"/>
          <wp:docPr id="1073741825" name="officeArt object" descr="M:\Events\Internal\RMA Conference\Logo\46683 RMA 2017 logo.jpg"/>
          <wp:cNvGraphicFramePr/>
          <a:graphic xmlns:a="http://schemas.openxmlformats.org/drawingml/2006/main">
            <a:graphicData uri="http://schemas.openxmlformats.org/drawingml/2006/picture">
              <pic:pic xmlns:pic="http://schemas.openxmlformats.org/drawingml/2006/picture">
                <pic:nvPicPr>
                  <pic:cNvPr id="1073741825" name="M:\Events\Internal\RMA Conference\Logo\46683 RMA 2017 logo.jpg" descr="M:\Events\Internal\RMA Conference\Logo\46683 RMA 2017 logo.jpg"/>
                  <pic:cNvPicPr>
                    <a:picLocks noChangeAspect="1"/>
                  </pic:cNvPicPr>
                </pic:nvPicPr>
                <pic:blipFill>
                  <a:blip r:embed="rId1">
                    <a:extLst/>
                  </a:blip>
                  <a:stretch>
                    <a:fillRect/>
                  </a:stretch>
                </pic:blipFill>
                <pic:spPr>
                  <a:xfrm>
                    <a:off x="0" y="0"/>
                    <a:ext cx="1985529" cy="690916"/>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standalone="yes"?><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