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Pr="009A034C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  <w:r w:rsidR="004776BD">
        <w:rPr>
          <w:rFonts w:ascii="Arial" w:hAnsi="Arial" w:cs="Arial"/>
          <w:b/>
          <w:sz w:val="20"/>
          <w:szCs w:val="20"/>
        </w:rPr>
        <w:t>Concussion in the country – issues for rural practitioners</w:t>
      </w:r>
    </w:p>
    <w:p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11732E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776BD" w:rsidRDefault="004776BD" w:rsidP="004776BD">
      <w:r>
        <w:t xml:space="preserve">The diagnosis, treatment and ongoing management of concussion in sport can be difficult and particularly challenging in rural and remote areas.  There is considerable debate about a number of issues including if and when patients should return to the sporting field and employment/study.  The media tends to ‘sensationalise’ these issues in high profile cases but the reality is that most patients make a good recovery.  Nevertheless, cases resulting in </w:t>
      </w:r>
      <w:r>
        <w:t xml:space="preserve">complaint and </w:t>
      </w:r>
      <w:r>
        <w:t>litigation give cause for concern for medical practitioners, particularly those involving possible long-term neurodegenerative conditions.</w:t>
      </w:r>
      <w:r>
        <w:t xml:space="preserve"> Elements of economic loss can feature highly in such litigation. </w:t>
      </w:r>
      <w:bookmarkStart w:id="0" w:name="_GoBack"/>
      <w:bookmarkEnd w:id="0"/>
    </w:p>
    <w:p w:rsidR="004776BD" w:rsidRDefault="004776BD" w:rsidP="004776BD">
      <w:pPr>
        <w:rPr>
          <w:rFonts w:ascii="Arial" w:hAnsi="Arial" w:cs="Arial"/>
          <w:b/>
        </w:rPr>
      </w:pPr>
      <w:r>
        <w:t xml:space="preserve">The workshops will consist of a didactic presentation and a case study discussion of a concussion injury in a </w:t>
      </w:r>
      <w:r>
        <w:t xml:space="preserve">rural </w:t>
      </w:r>
      <w:r>
        <w:t xml:space="preserve">setting of </w:t>
      </w:r>
      <w:r>
        <w:t>Australian Rules football.</w:t>
      </w:r>
      <w:r>
        <w:t xml:space="preserve"> There will be an opportunity to debate the appropriate </w:t>
      </w:r>
      <w:r>
        <w:t xml:space="preserve">subsequent </w:t>
      </w:r>
      <w:r>
        <w:t>management of the patient</w:t>
      </w:r>
      <w:r>
        <w:t xml:space="preserve"> including return to the field of play</w:t>
      </w:r>
      <w:r>
        <w:t xml:space="preserve">. Following an interactive </w:t>
      </w:r>
      <w:r>
        <w:t xml:space="preserve">and robust </w:t>
      </w:r>
      <w:r>
        <w:t xml:space="preserve">audience discussion, the medicolegal presenter will highlight the key messages, learnings and appropriate contemporary practice. </w:t>
      </w:r>
    </w:p>
    <w:p w:rsidR="004776BD" w:rsidRDefault="004776BD" w:rsidP="004776BD">
      <w:pPr>
        <w:spacing w:after="120"/>
        <w:rPr>
          <w:b/>
        </w:rPr>
      </w:pPr>
      <w:r>
        <w:rPr>
          <w:b/>
        </w:rPr>
        <w:t>Learning outcomes:</w:t>
      </w:r>
    </w:p>
    <w:p w:rsidR="004776BD" w:rsidRDefault="004776BD" w:rsidP="004776BD">
      <w:pPr>
        <w:pStyle w:val="ListParagraph"/>
        <w:numPr>
          <w:ilvl w:val="0"/>
          <w:numId w:val="1"/>
        </w:numPr>
      </w:pPr>
      <w:r>
        <w:t>an appreciation of the history of this evolving medical and legal area;</w:t>
      </w:r>
    </w:p>
    <w:p w:rsidR="004776BD" w:rsidRDefault="004776BD" w:rsidP="004776BD">
      <w:pPr>
        <w:pStyle w:val="ListParagraph"/>
        <w:numPr>
          <w:ilvl w:val="0"/>
          <w:numId w:val="1"/>
        </w:numPr>
      </w:pPr>
      <w:r>
        <w:t>an understanding of various assessment and management guidelines; and</w:t>
      </w:r>
    </w:p>
    <w:p w:rsidR="004776BD" w:rsidRDefault="004776BD" w:rsidP="004776BD">
      <w:pPr>
        <w:pStyle w:val="ListParagraph"/>
        <w:numPr>
          <w:ilvl w:val="0"/>
          <w:numId w:val="1"/>
        </w:numPr>
      </w:pPr>
      <w:r>
        <w:t>awareness of the recommendations from the recent International Consensus Conference on Concussion in Sport in Berlin in 2016.</w:t>
      </w:r>
    </w:p>
    <w:p w:rsidR="004776BD" w:rsidRPr="000E3E5B" w:rsidRDefault="004776BD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776BD" w:rsidRPr="000E3E5B" w:rsidSect="000E3E5B">
      <w:headerReference w:type="default" r:id="rId8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E5B" w:rsidRDefault="000E3E5B" w:rsidP="000E3E5B">
      <w:pPr>
        <w:spacing w:after="0" w:line="240" w:lineRule="auto"/>
      </w:pPr>
      <w:r>
        <w:separator/>
      </w:r>
    </w:p>
  </w:endnote>
  <w:endnote w:type="continuationSeparator" w:id="0">
    <w:p w:rsidR="000E3E5B" w:rsidRDefault="000E3E5B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E5B" w:rsidRDefault="000E3E5B" w:rsidP="000E3E5B">
      <w:pPr>
        <w:spacing w:after="0" w:line="240" w:lineRule="auto"/>
      </w:pPr>
      <w:r>
        <w:separator/>
      </w:r>
    </w:p>
  </w:footnote>
  <w:footnote w:type="continuationSeparator" w:id="0">
    <w:p w:rsidR="000E3E5B" w:rsidRDefault="000E3E5B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D4362"/>
    <w:multiLevelType w:val="hybridMultilevel"/>
    <w:tmpl w:val="6C28D7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E3E5B"/>
    <w:rsid w:val="0011732E"/>
    <w:rsid w:val="00257D58"/>
    <w:rsid w:val="002A5BB7"/>
    <w:rsid w:val="004776BD"/>
    <w:rsid w:val="00724FA9"/>
    <w:rsid w:val="00836C6D"/>
    <w:rsid w:val="009A034C"/>
    <w:rsid w:val="009B017B"/>
    <w:rsid w:val="00F50C90"/>
    <w:rsid w:val="00F6035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348B8"/>
  <w15:docId w15:val="{1618346E-CFE5-4E35-A9C5-7F867995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styleId="ListParagraph">
    <w:name w:val="List Paragraph"/>
    <w:basedOn w:val="Normal"/>
    <w:uiPriority w:val="34"/>
    <w:qFormat/>
    <w:rsid w:val="00477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5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414AB-E1B7-4E98-9003-7B0BC83F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Doug Gallagher</cp:lastModifiedBy>
  <cp:revision>2</cp:revision>
  <cp:lastPrinted>2017-02-15T03:53:00Z</cp:lastPrinted>
  <dcterms:created xsi:type="dcterms:W3CDTF">2017-06-29T05:12:00Z</dcterms:created>
  <dcterms:modified xsi:type="dcterms:W3CDTF">2017-06-29T05:12:00Z</dcterms:modified>
</cp:coreProperties>
</file>