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17E7333F" w:rsidR="0083790A" w:rsidRPr="00DF1E64" w:rsidRDefault="00DF1E64" w:rsidP="0083790A">
      <w:pPr>
        <w:spacing w:after="0"/>
        <w:rPr>
          <w:rFonts w:ascii="Arial" w:hAnsi="Arial" w:cs="Arial"/>
          <w:b/>
          <w:sz w:val="24"/>
        </w:rPr>
      </w:pPr>
      <w:r w:rsidRPr="00DF1E64">
        <w:rPr>
          <w:rFonts w:ascii="Arial" w:hAnsi="Arial" w:cs="Arial"/>
          <w:b/>
          <w:sz w:val="24"/>
        </w:rPr>
        <w:t>PAPER NUMBER #422</w:t>
      </w:r>
    </w:p>
    <w:p w14:paraId="2EE2A5BE" w14:textId="588372C6" w:rsidR="00A4472C" w:rsidRPr="00DF1E64" w:rsidRDefault="00DF1E64" w:rsidP="003D1F3B">
      <w:pPr>
        <w:spacing w:after="0" w:line="240" w:lineRule="auto"/>
        <w:rPr>
          <w:rFonts w:ascii="Arial" w:eastAsia="Times New Roman" w:hAnsi="Arial" w:cs="Arial"/>
          <w:b/>
          <w:szCs w:val="20"/>
        </w:rPr>
      </w:pPr>
      <w:r w:rsidRPr="00DF1E64">
        <w:rPr>
          <w:rFonts w:ascii="Arial" w:eastAsia="Times New Roman" w:hAnsi="Arial" w:cs="Arial"/>
          <w:b/>
          <w:szCs w:val="20"/>
        </w:rPr>
        <w:t>Co</w:t>
      </w:r>
      <w:bookmarkStart w:id="0" w:name="_GoBack"/>
      <w:bookmarkEnd w:id="0"/>
      <w:r w:rsidRPr="00DF1E64">
        <w:rPr>
          <w:rFonts w:ascii="Arial" w:eastAsia="Times New Roman" w:hAnsi="Arial" w:cs="Arial"/>
          <w:b/>
          <w:szCs w:val="20"/>
        </w:rPr>
        <w:t xml:space="preserve">mbining rigorous research with </w:t>
      </w:r>
      <w:proofErr w:type="spellStart"/>
      <w:r w:rsidRPr="00DF1E64">
        <w:rPr>
          <w:rFonts w:ascii="Arial" w:eastAsia="Times New Roman" w:hAnsi="Arial" w:cs="Arial"/>
          <w:b/>
          <w:szCs w:val="20"/>
        </w:rPr>
        <w:t>programme</w:t>
      </w:r>
      <w:proofErr w:type="spellEnd"/>
      <w:r w:rsidRPr="00DF1E64">
        <w:rPr>
          <w:rFonts w:ascii="Arial" w:eastAsia="Times New Roman" w:hAnsi="Arial" w:cs="Arial"/>
          <w:b/>
          <w:szCs w:val="20"/>
        </w:rPr>
        <w:t xml:space="preserve"> implementation: benefits, challenges and lessons learnt</w:t>
      </w:r>
      <w:r w:rsidR="00131872" w:rsidRPr="00DF1E64">
        <w:rPr>
          <w:rFonts w:ascii="Arial" w:eastAsia="Times New Roman" w:hAnsi="Arial" w:cs="Arial"/>
          <w:b/>
          <w:szCs w:val="20"/>
        </w:rPr>
        <w:t xml:space="preserve"> </w:t>
      </w:r>
    </w:p>
    <w:p w14:paraId="28F602DA" w14:textId="26C6831A" w:rsidR="00CB3EE5" w:rsidRPr="00131872" w:rsidRDefault="00CB3EE5" w:rsidP="007D52AA">
      <w:pPr>
        <w:spacing w:after="0" w:line="240" w:lineRule="auto"/>
        <w:rPr>
          <w:rFonts w:ascii="Arial" w:hAnsi="Arial" w:cs="Arial"/>
          <w:b/>
          <w:sz w:val="20"/>
          <w:szCs w:val="20"/>
        </w:rPr>
      </w:pPr>
    </w:p>
    <w:p w14:paraId="1A280EC7" w14:textId="5E00238F" w:rsidR="00EB42BD" w:rsidRPr="0083790A" w:rsidRDefault="00DF1E64" w:rsidP="00DF1E64">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47018D10" w14:textId="77777777" w:rsidR="00DF1E64" w:rsidRDefault="00DF1E64" w:rsidP="00DF1E64">
      <w:pPr>
        <w:spacing w:after="0" w:line="240" w:lineRule="auto"/>
        <w:rPr>
          <w:rFonts w:ascii="Arial" w:eastAsia="Times New Roman" w:hAnsi="Arial" w:cs="Arial"/>
          <w:sz w:val="20"/>
          <w:szCs w:val="20"/>
          <w:lang w:val="nl-NL"/>
        </w:rPr>
      </w:pPr>
      <w:r w:rsidRPr="00DF1E64">
        <w:rPr>
          <w:rFonts w:ascii="Arial" w:eastAsia="Times New Roman" w:hAnsi="Arial" w:cs="Arial"/>
          <w:sz w:val="20"/>
          <w:szCs w:val="20"/>
          <w:lang w:val="nl-NL"/>
        </w:rPr>
        <w:t>Marianne van Diggele</w:t>
      </w:r>
      <w:r w:rsidRPr="00DF1E64">
        <w:rPr>
          <w:rFonts w:ascii="Arial" w:eastAsia="Times New Roman" w:hAnsi="Arial" w:cs="Arial"/>
          <w:sz w:val="20"/>
          <w:szCs w:val="20"/>
          <w:vertAlign w:val="superscript"/>
          <w:lang w:val="nl-NL"/>
        </w:rPr>
        <w:t>1</w:t>
      </w:r>
      <w:r w:rsidRPr="00DF1E64">
        <w:rPr>
          <w:rFonts w:ascii="Arial" w:eastAsia="Times New Roman" w:hAnsi="Arial" w:cs="Arial"/>
          <w:sz w:val="20"/>
          <w:szCs w:val="20"/>
          <w:lang w:val="nl-NL"/>
        </w:rPr>
        <w:t>,  Lidwien Sol</w:t>
      </w:r>
      <w:r w:rsidRPr="00DF1E64">
        <w:rPr>
          <w:rFonts w:ascii="Arial" w:eastAsia="Times New Roman" w:hAnsi="Arial" w:cs="Arial"/>
          <w:sz w:val="20"/>
          <w:szCs w:val="20"/>
          <w:vertAlign w:val="superscript"/>
          <w:lang w:val="nl-NL"/>
        </w:rPr>
        <w:t>2</w:t>
      </w:r>
      <w:r w:rsidRPr="00DF1E64">
        <w:rPr>
          <w:rFonts w:ascii="Arial" w:eastAsia="Times New Roman" w:hAnsi="Arial" w:cs="Arial"/>
          <w:sz w:val="20"/>
          <w:szCs w:val="20"/>
          <w:lang w:val="nl-NL"/>
        </w:rPr>
        <w:t>, Hilda Alberda</w:t>
      </w:r>
      <w:r w:rsidRPr="00DF1E64">
        <w:rPr>
          <w:rFonts w:ascii="Arial" w:eastAsia="Times New Roman" w:hAnsi="Arial" w:cs="Arial"/>
          <w:sz w:val="20"/>
          <w:szCs w:val="20"/>
          <w:vertAlign w:val="superscript"/>
          <w:lang w:val="nl-NL"/>
        </w:rPr>
        <w:t>1</w:t>
      </w:r>
      <w:r w:rsidRPr="00DF1E64">
        <w:rPr>
          <w:rFonts w:ascii="Arial" w:eastAsia="Times New Roman" w:hAnsi="Arial" w:cs="Arial"/>
          <w:sz w:val="20"/>
          <w:szCs w:val="20"/>
          <w:lang w:val="nl-NL"/>
        </w:rPr>
        <w:t xml:space="preserve">  </w:t>
      </w:r>
    </w:p>
    <w:p w14:paraId="29DB496A" w14:textId="437051DE" w:rsidR="000F00DD" w:rsidRPr="00131872" w:rsidRDefault="00DF1E64" w:rsidP="00DF1E64">
      <w:pPr>
        <w:spacing w:after="0" w:line="240" w:lineRule="auto"/>
        <w:rPr>
          <w:rFonts w:ascii="Arial" w:hAnsi="Arial" w:cs="Arial"/>
          <w:b/>
          <w:lang w:val="nl-NL"/>
        </w:rPr>
      </w:pPr>
      <w:r w:rsidRPr="00DF1E64">
        <w:rPr>
          <w:rFonts w:ascii="Arial" w:eastAsia="Times New Roman" w:hAnsi="Arial" w:cs="Arial"/>
          <w:sz w:val="20"/>
          <w:szCs w:val="20"/>
          <w:lang w:val="nl-NL"/>
        </w:rPr>
        <w:t xml:space="preserve">  </w:t>
      </w:r>
    </w:p>
    <w:p w14:paraId="64ED7305" w14:textId="77777777" w:rsidR="00DF1E64" w:rsidRDefault="00EB42BD" w:rsidP="00DF1E64">
      <w:pPr>
        <w:spacing w:after="0" w:line="240" w:lineRule="auto"/>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59B8E49B" w14:textId="2185AA55" w:rsidR="00DF1E64" w:rsidRPr="00DF1E64" w:rsidRDefault="00DF1E64" w:rsidP="00DF1E64">
      <w:pPr>
        <w:pStyle w:val="ListParagraph"/>
        <w:numPr>
          <w:ilvl w:val="0"/>
          <w:numId w:val="15"/>
        </w:numPr>
        <w:spacing w:after="0" w:line="240" w:lineRule="auto"/>
        <w:rPr>
          <w:rFonts w:ascii="Arial" w:eastAsia="Times New Roman" w:hAnsi="Arial" w:cs="Arial"/>
          <w:sz w:val="20"/>
          <w:szCs w:val="20"/>
        </w:rPr>
      </w:pPr>
      <w:proofErr w:type="spellStart"/>
      <w:r w:rsidRPr="00DF1E64">
        <w:rPr>
          <w:rFonts w:ascii="Arial" w:hAnsi="Arial" w:cs="Arial"/>
          <w:sz w:val="20"/>
          <w:szCs w:val="20"/>
        </w:rPr>
        <w:t>Simavi</w:t>
      </w:r>
      <w:proofErr w:type="spellEnd"/>
      <w:r w:rsidRPr="00DF1E64">
        <w:rPr>
          <w:rFonts w:ascii="Arial" w:hAnsi="Arial" w:cs="Arial"/>
          <w:sz w:val="20"/>
          <w:szCs w:val="20"/>
        </w:rPr>
        <w:t xml:space="preserve">, the Netherlands </w:t>
      </w:r>
    </w:p>
    <w:p w14:paraId="058E048E" w14:textId="55E961CC" w:rsidR="00DF1E64" w:rsidRPr="00DF1E64" w:rsidRDefault="00DF1E64" w:rsidP="00DF1E64">
      <w:pPr>
        <w:pStyle w:val="ListParagraph"/>
        <w:numPr>
          <w:ilvl w:val="0"/>
          <w:numId w:val="15"/>
        </w:numPr>
        <w:spacing w:after="0" w:line="240" w:lineRule="auto"/>
        <w:rPr>
          <w:rFonts w:ascii="Arial" w:eastAsia="Times New Roman" w:hAnsi="Arial" w:cs="Arial"/>
          <w:sz w:val="20"/>
          <w:szCs w:val="20"/>
        </w:rPr>
      </w:pPr>
      <w:r w:rsidRPr="00DF1E64">
        <w:rPr>
          <w:rFonts w:ascii="Arial" w:hAnsi="Arial" w:cs="Arial"/>
          <w:sz w:val="20"/>
          <w:szCs w:val="20"/>
        </w:rPr>
        <w:t xml:space="preserve">Maastricht University, the Netherlands    </w:t>
      </w:r>
    </w:p>
    <w:p w14:paraId="4E09F2C2" w14:textId="77777777" w:rsidR="00DF1E64" w:rsidRDefault="00DF1E64" w:rsidP="00DF1E64">
      <w:pPr>
        <w:spacing w:after="0" w:line="240" w:lineRule="auto"/>
        <w:rPr>
          <w:rFonts w:ascii="Arial" w:eastAsia="Times New Roman" w:hAnsi="Arial" w:cs="Arial"/>
          <w:b/>
          <w:sz w:val="20"/>
          <w:szCs w:val="20"/>
        </w:rPr>
      </w:pPr>
    </w:p>
    <w:p w14:paraId="44EC24DD" w14:textId="5147E430" w:rsidR="00796ABC" w:rsidRPr="00DF1E64" w:rsidRDefault="00796ABC" w:rsidP="00DF1E64">
      <w:pPr>
        <w:spacing w:after="0" w:line="240" w:lineRule="auto"/>
        <w:rPr>
          <w:rFonts w:ascii="Arial" w:eastAsia="Times New Roman" w:hAnsi="Arial" w:cs="Arial"/>
          <w:sz w:val="20"/>
          <w:szCs w:val="20"/>
        </w:rPr>
      </w:pPr>
      <w:r w:rsidRPr="00DF1E64">
        <w:rPr>
          <w:rFonts w:ascii="Arial" w:eastAsia="Times New Roman" w:hAnsi="Arial" w:cs="Arial"/>
          <w:b/>
          <w:sz w:val="20"/>
          <w:szCs w:val="20"/>
        </w:rPr>
        <w:t>Country of residence</w:t>
      </w:r>
    </w:p>
    <w:p w14:paraId="56361950" w14:textId="45D24DBD" w:rsidR="00457737" w:rsidRDefault="00DF1E64" w:rsidP="00DF1E64">
      <w:pPr>
        <w:spacing w:after="0" w:line="240" w:lineRule="auto"/>
        <w:rPr>
          <w:rFonts w:ascii="Arial" w:eastAsia="Times New Roman" w:hAnsi="Arial" w:cs="Arial"/>
          <w:sz w:val="20"/>
          <w:szCs w:val="20"/>
        </w:rPr>
      </w:pPr>
      <w:r>
        <w:rPr>
          <w:rFonts w:ascii="Arial" w:eastAsia="Times New Roman" w:hAnsi="Arial" w:cs="Arial"/>
          <w:sz w:val="20"/>
          <w:szCs w:val="20"/>
        </w:rPr>
        <w:t>T</w:t>
      </w:r>
      <w:r w:rsidRPr="00DF1E64">
        <w:rPr>
          <w:rFonts w:ascii="Arial" w:eastAsia="Times New Roman" w:hAnsi="Arial" w:cs="Arial"/>
          <w:sz w:val="20"/>
          <w:szCs w:val="20"/>
        </w:rPr>
        <w:t xml:space="preserve">he Netherlands   </w:t>
      </w:r>
    </w:p>
    <w:p w14:paraId="52B077CE" w14:textId="77777777" w:rsidR="00DF1E64" w:rsidRPr="00DF1E64" w:rsidRDefault="00DF1E64" w:rsidP="00DF1E64">
      <w:pPr>
        <w:spacing w:after="0" w:line="240" w:lineRule="auto"/>
        <w:rPr>
          <w:rFonts w:ascii="Arial" w:eastAsia="Times New Roman" w:hAnsi="Arial" w:cs="Arial"/>
          <w:sz w:val="20"/>
          <w:szCs w:val="20"/>
        </w:rPr>
      </w:pPr>
    </w:p>
    <w:p w14:paraId="483A37B9" w14:textId="4B244503" w:rsidR="003D1F3B" w:rsidRPr="0083790A" w:rsidRDefault="003B4148" w:rsidP="00DF1E64">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119B3D55" w14:textId="75AC64C7" w:rsidR="00EC51C1"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 xml:space="preserve">We aim to reflect on the synergies between research and practice so far from incorporating a Randomized Controlled Trial design in a complex implementation context. The program is called </w:t>
      </w:r>
      <w:proofErr w:type="spellStart"/>
      <w:r w:rsidRPr="00DF1E64">
        <w:rPr>
          <w:rFonts w:ascii="Arial" w:hAnsi="Arial" w:cs="Arial"/>
          <w:sz w:val="20"/>
          <w:szCs w:val="20"/>
          <w:lang w:val="en-AU"/>
        </w:rPr>
        <w:t>Ritu</w:t>
      </w:r>
      <w:proofErr w:type="spellEnd"/>
      <w:r w:rsidRPr="00DF1E64">
        <w:rPr>
          <w:rFonts w:ascii="Arial" w:hAnsi="Arial" w:cs="Arial"/>
          <w:sz w:val="20"/>
          <w:szCs w:val="20"/>
          <w:lang w:val="en-AU"/>
        </w:rPr>
        <w:t>, and aims to improve Menstrual Health (MH) practices and wellbeing of adolescent girls in Bangladesh. We are currently in the implementation stage. We will shortly explain the set-up of the program and the study, but focus on the challenges and lessons learned throughout this process between academia and practice. Open communication and flexibility to adapt from both sides was key to realise successful collaboration.</w:t>
      </w:r>
    </w:p>
    <w:p w14:paraId="71A321C6" w14:textId="77777777" w:rsidR="00DF1E64" w:rsidRPr="0083790A" w:rsidRDefault="00DF1E64" w:rsidP="00DF1E64">
      <w:pPr>
        <w:spacing w:after="0" w:line="240" w:lineRule="auto"/>
        <w:rPr>
          <w:rFonts w:ascii="Arial" w:hAnsi="Arial" w:cs="Arial"/>
          <w:sz w:val="20"/>
          <w:szCs w:val="20"/>
          <w:lang w:val="en-AU"/>
        </w:rPr>
      </w:pPr>
    </w:p>
    <w:p w14:paraId="44AEE3BD" w14:textId="2F45B4A5" w:rsidR="007231EB" w:rsidRPr="0083790A" w:rsidRDefault="0083790A" w:rsidP="00DF1E64">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4E4CACEB" w14:textId="77777777" w:rsidR="00DF1E64" w:rsidRPr="00DF1E64"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Preparation: Significantly more elaborate than usual due to the RCT design. It included an evidence review, careful sequencing, pilot testing, ethical approval, mapping out the study area, randomizing schools into treatment and control arms, sample size calculations based on secondary data, administering the baseline survey to 4,000 girls.</w:t>
      </w:r>
    </w:p>
    <w:p w14:paraId="6E928B42" w14:textId="77777777" w:rsidR="00DF1E64" w:rsidRPr="00DF1E64"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Implementation: Schools and households receive MH interventions on WASH facilities, knowledge and practice. Detailed process data, attendance data from school records and our own innovative data collection method is collected.</w:t>
      </w:r>
    </w:p>
    <w:p w14:paraId="114D57B7" w14:textId="0F49891E" w:rsidR="00EC51C1"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 xml:space="preserve">Implication: The impact evaluation will inform potential upscaling of the </w:t>
      </w:r>
      <w:proofErr w:type="spellStart"/>
      <w:r w:rsidRPr="00DF1E64">
        <w:rPr>
          <w:rFonts w:ascii="Arial" w:hAnsi="Arial" w:cs="Arial"/>
          <w:sz w:val="20"/>
          <w:szCs w:val="20"/>
          <w:lang w:val="en-AU"/>
        </w:rPr>
        <w:t>Ritu</w:t>
      </w:r>
      <w:proofErr w:type="spellEnd"/>
      <w:r w:rsidRPr="00DF1E64">
        <w:rPr>
          <w:rFonts w:ascii="Arial" w:hAnsi="Arial" w:cs="Arial"/>
          <w:sz w:val="20"/>
          <w:szCs w:val="20"/>
          <w:lang w:val="en-AU"/>
        </w:rPr>
        <w:t xml:space="preserve"> program by </w:t>
      </w:r>
      <w:proofErr w:type="spellStart"/>
      <w:r w:rsidRPr="00DF1E64">
        <w:rPr>
          <w:rFonts w:ascii="Arial" w:hAnsi="Arial" w:cs="Arial"/>
          <w:sz w:val="20"/>
          <w:szCs w:val="20"/>
          <w:lang w:val="en-AU"/>
        </w:rPr>
        <w:t>Simavi</w:t>
      </w:r>
      <w:proofErr w:type="spellEnd"/>
      <w:r w:rsidRPr="00DF1E64">
        <w:rPr>
          <w:rFonts w:ascii="Arial" w:hAnsi="Arial" w:cs="Arial"/>
          <w:sz w:val="20"/>
          <w:szCs w:val="20"/>
          <w:lang w:val="en-AU"/>
        </w:rPr>
        <w:t>. It will also add to the MH evidence base. We will use academic and practitioner outlets to share our findings.</w:t>
      </w:r>
    </w:p>
    <w:p w14:paraId="131E0863" w14:textId="77777777" w:rsidR="00DF1E64" w:rsidRPr="0083790A" w:rsidRDefault="00DF1E64" w:rsidP="00DF1E64">
      <w:pPr>
        <w:spacing w:after="0" w:line="240" w:lineRule="auto"/>
        <w:rPr>
          <w:rFonts w:ascii="Arial" w:hAnsi="Arial" w:cs="Arial"/>
          <w:sz w:val="20"/>
          <w:szCs w:val="20"/>
          <w:lang w:val="en-AU"/>
        </w:rPr>
      </w:pPr>
    </w:p>
    <w:p w14:paraId="03AF54E2" w14:textId="04833EC4" w:rsidR="007231EB" w:rsidRPr="0083790A" w:rsidRDefault="00DF1E64" w:rsidP="00DF1E64">
      <w:pPr>
        <w:spacing w:after="0" w:line="240" w:lineRule="auto"/>
        <w:rPr>
          <w:rFonts w:ascii="Arial" w:hAnsi="Arial" w:cs="Arial"/>
          <w:b/>
          <w:sz w:val="20"/>
          <w:szCs w:val="20"/>
          <w:lang w:val="en-AU"/>
        </w:rPr>
      </w:pPr>
      <w:r>
        <w:rPr>
          <w:rFonts w:ascii="Arial" w:hAnsi="Arial" w:cs="Arial"/>
          <w:b/>
          <w:sz w:val="20"/>
          <w:szCs w:val="20"/>
          <w:lang w:val="en-AU"/>
        </w:rPr>
        <w:t>Main findings</w:t>
      </w:r>
    </w:p>
    <w:p w14:paraId="032CBA05" w14:textId="77777777" w:rsidR="00DF1E64" w:rsidRPr="00DF1E64"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The preparatory work for the RCT design was extensive. Briefings on design and implications for ways of working were crucial in creating understanding on the ground. Donor flexibility was required for the extended preparation phase.</w:t>
      </w:r>
    </w:p>
    <w:p w14:paraId="65E8FE66" w14:textId="77777777" w:rsidR="00DF1E64" w:rsidRPr="00DF1E64"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During implementation, synergies are more clear. M&amp;E is streamlined and implementation more focused. However, the RCT allows little flexibility to adapt the program, and project staff has to balance documentation with implementation tasks.</w:t>
      </w:r>
    </w:p>
    <w:p w14:paraId="36746BD2" w14:textId="77777777" w:rsidR="00DF1E64" w:rsidRPr="00DF1E64" w:rsidRDefault="00DF1E64" w:rsidP="00DF1E64">
      <w:pPr>
        <w:spacing w:after="0" w:line="240" w:lineRule="auto"/>
        <w:rPr>
          <w:rFonts w:ascii="Arial" w:hAnsi="Arial" w:cs="Arial"/>
          <w:sz w:val="20"/>
          <w:szCs w:val="20"/>
          <w:lang w:val="en-AU"/>
        </w:rPr>
      </w:pPr>
      <w:r w:rsidRPr="00DF1E64">
        <w:rPr>
          <w:rFonts w:ascii="Arial" w:hAnsi="Arial" w:cs="Arial"/>
          <w:sz w:val="20"/>
          <w:szCs w:val="20"/>
          <w:lang w:val="en-AU"/>
        </w:rPr>
        <w:t>Academic research is often difficult to translate into practice. Development programs are usually difficult to evaluate in a rigorous and cost-effective way. We were able to address these challenges by designing an RCT that can help guide policymakers make well-informed decisions on future MH programs for adolescent girls in developing countries.</w:t>
      </w:r>
    </w:p>
    <w:p w14:paraId="75039502" w14:textId="7C347300" w:rsidR="00D919DA" w:rsidRPr="00DF1E64" w:rsidRDefault="00D919DA" w:rsidP="00DF1E64">
      <w:pPr>
        <w:spacing w:after="0" w:line="240" w:lineRule="auto"/>
        <w:rPr>
          <w:rFonts w:ascii="Arial" w:hAnsi="Arial" w:cs="Arial"/>
          <w:sz w:val="20"/>
          <w:szCs w:val="20"/>
          <w:lang w:val="en-AU"/>
        </w:rPr>
      </w:pPr>
    </w:p>
    <w:sectPr w:rsidR="00D919DA" w:rsidRPr="00DF1E64"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A4606" w14:textId="77777777" w:rsidR="00A45396" w:rsidRDefault="00A45396" w:rsidP="003C4168">
      <w:pPr>
        <w:spacing w:after="0" w:line="240" w:lineRule="auto"/>
      </w:pPr>
      <w:r>
        <w:separator/>
      </w:r>
    </w:p>
  </w:endnote>
  <w:endnote w:type="continuationSeparator" w:id="0">
    <w:p w14:paraId="4BC80632" w14:textId="77777777" w:rsidR="00A45396" w:rsidRDefault="00A4539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E525B9D"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DBA6" w14:textId="77777777" w:rsidR="00A45396" w:rsidRDefault="00A45396" w:rsidP="003C4168">
      <w:pPr>
        <w:spacing w:after="0" w:line="240" w:lineRule="auto"/>
      </w:pPr>
      <w:r>
        <w:separator/>
      </w:r>
    </w:p>
  </w:footnote>
  <w:footnote w:type="continuationSeparator" w:id="0">
    <w:p w14:paraId="3E162AB5" w14:textId="77777777" w:rsidR="00A45396" w:rsidRDefault="00A4539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898E513"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2E504C8"/>
    <w:multiLevelType w:val="hybridMultilevel"/>
    <w:tmpl w:val="60D8D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95FC8"/>
    <w:multiLevelType w:val="hybridMultilevel"/>
    <w:tmpl w:val="84D6A9D8"/>
    <w:lvl w:ilvl="0" w:tplc="E40EA64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10"/>
  </w:num>
  <w:num w:numId="6">
    <w:abstractNumId w:val="2"/>
  </w:num>
  <w:num w:numId="7">
    <w:abstractNumId w:val="4"/>
  </w:num>
  <w:num w:numId="8">
    <w:abstractNumId w:val="14"/>
  </w:num>
  <w:num w:numId="9">
    <w:abstractNumId w:val="6"/>
  </w:num>
  <w:num w:numId="10">
    <w:abstractNumId w:val="11"/>
  </w:num>
  <w:num w:numId="11">
    <w:abstractNumId w:val="13"/>
  </w:num>
  <w:num w:numId="12">
    <w:abstractNumId w:val="9"/>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57260"/>
    <w:rsid w:val="0006191B"/>
    <w:rsid w:val="000A247E"/>
    <w:rsid w:val="000B3948"/>
    <w:rsid w:val="000C42BD"/>
    <w:rsid w:val="000D17F9"/>
    <w:rsid w:val="000D1D57"/>
    <w:rsid w:val="000D3C9D"/>
    <w:rsid w:val="000F00DD"/>
    <w:rsid w:val="000F0B4D"/>
    <w:rsid w:val="000F0C06"/>
    <w:rsid w:val="001074DF"/>
    <w:rsid w:val="00111A51"/>
    <w:rsid w:val="00122532"/>
    <w:rsid w:val="00131872"/>
    <w:rsid w:val="0014001B"/>
    <w:rsid w:val="001425A1"/>
    <w:rsid w:val="00145940"/>
    <w:rsid w:val="00153532"/>
    <w:rsid w:val="001842A8"/>
    <w:rsid w:val="00191200"/>
    <w:rsid w:val="001A2088"/>
    <w:rsid w:val="001B4188"/>
    <w:rsid w:val="001B5E33"/>
    <w:rsid w:val="001C1617"/>
    <w:rsid w:val="001C47A0"/>
    <w:rsid w:val="001D4267"/>
    <w:rsid w:val="001E17A8"/>
    <w:rsid w:val="001E5424"/>
    <w:rsid w:val="00204720"/>
    <w:rsid w:val="00205CA7"/>
    <w:rsid w:val="00214C4D"/>
    <w:rsid w:val="00220CDB"/>
    <w:rsid w:val="00234E45"/>
    <w:rsid w:val="00261EB4"/>
    <w:rsid w:val="002665CD"/>
    <w:rsid w:val="00293AA4"/>
    <w:rsid w:val="002A0EAA"/>
    <w:rsid w:val="002B6643"/>
    <w:rsid w:val="002D17C6"/>
    <w:rsid w:val="002F07AC"/>
    <w:rsid w:val="00326479"/>
    <w:rsid w:val="00341541"/>
    <w:rsid w:val="00354666"/>
    <w:rsid w:val="003B4148"/>
    <w:rsid w:val="003B5C77"/>
    <w:rsid w:val="003B6288"/>
    <w:rsid w:val="003C4168"/>
    <w:rsid w:val="003D0131"/>
    <w:rsid w:val="003D1F3B"/>
    <w:rsid w:val="004459E3"/>
    <w:rsid w:val="00451697"/>
    <w:rsid w:val="00453EEF"/>
    <w:rsid w:val="00457737"/>
    <w:rsid w:val="00462408"/>
    <w:rsid w:val="00464AFE"/>
    <w:rsid w:val="004846F6"/>
    <w:rsid w:val="004A3322"/>
    <w:rsid w:val="004C1E6D"/>
    <w:rsid w:val="00503EA8"/>
    <w:rsid w:val="005062FD"/>
    <w:rsid w:val="005138ED"/>
    <w:rsid w:val="005147E9"/>
    <w:rsid w:val="0053113C"/>
    <w:rsid w:val="005317FD"/>
    <w:rsid w:val="00547E04"/>
    <w:rsid w:val="00555EC7"/>
    <w:rsid w:val="00583790"/>
    <w:rsid w:val="00590E27"/>
    <w:rsid w:val="005A02FC"/>
    <w:rsid w:val="005C0938"/>
    <w:rsid w:val="00600146"/>
    <w:rsid w:val="0060384C"/>
    <w:rsid w:val="006040CD"/>
    <w:rsid w:val="0060416A"/>
    <w:rsid w:val="00610761"/>
    <w:rsid w:val="00635D4A"/>
    <w:rsid w:val="00635DAC"/>
    <w:rsid w:val="00643BF0"/>
    <w:rsid w:val="00646636"/>
    <w:rsid w:val="0068048C"/>
    <w:rsid w:val="00694CF5"/>
    <w:rsid w:val="00694DE8"/>
    <w:rsid w:val="00696A08"/>
    <w:rsid w:val="006A5A86"/>
    <w:rsid w:val="006D0974"/>
    <w:rsid w:val="00700D73"/>
    <w:rsid w:val="00704FB2"/>
    <w:rsid w:val="00711B13"/>
    <w:rsid w:val="0071789F"/>
    <w:rsid w:val="00720750"/>
    <w:rsid w:val="007231EB"/>
    <w:rsid w:val="0073151C"/>
    <w:rsid w:val="0076692A"/>
    <w:rsid w:val="007709F0"/>
    <w:rsid w:val="00770DE7"/>
    <w:rsid w:val="00796ABC"/>
    <w:rsid w:val="007C55CD"/>
    <w:rsid w:val="007D52AA"/>
    <w:rsid w:val="007E5370"/>
    <w:rsid w:val="008030EC"/>
    <w:rsid w:val="00827ACC"/>
    <w:rsid w:val="0083790A"/>
    <w:rsid w:val="00856E9A"/>
    <w:rsid w:val="00860EC6"/>
    <w:rsid w:val="00874ECE"/>
    <w:rsid w:val="0087738D"/>
    <w:rsid w:val="00880CB9"/>
    <w:rsid w:val="00881693"/>
    <w:rsid w:val="00893C0D"/>
    <w:rsid w:val="008A65DC"/>
    <w:rsid w:val="008B014D"/>
    <w:rsid w:val="008B3802"/>
    <w:rsid w:val="008B7B41"/>
    <w:rsid w:val="008C6637"/>
    <w:rsid w:val="008D4901"/>
    <w:rsid w:val="008E284C"/>
    <w:rsid w:val="009201FC"/>
    <w:rsid w:val="00940182"/>
    <w:rsid w:val="009456A4"/>
    <w:rsid w:val="00981BC7"/>
    <w:rsid w:val="009C24A6"/>
    <w:rsid w:val="009C7239"/>
    <w:rsid w:val="009D0413"/>
    <w:rsid w:val="009E21CE"/>
    <w:rsid w:val="00A211F8"/>
    <w:rsid w:val="00A21398"/>
    <w:rsid w:val="00A4472C"/>
    <w:rsid w:val="00A45396"/>
    <w:rsid w:val="00A47ED1"/>
    <w:rsid w:val="00A50406"/>
    <w:rsid w:val="00A65921"/>
    <w:rsid w:val="00A676F4"/>
    <w:rsid w:val="00A71C98"/>
    <w:rsid w:val="00A71CA8"/>
    <w:rsid w:val="00A82563"/>
    <w:rsid w:val="00A82A0A"/>
    <w:rsid w:val="00A8452B"/>
    <w:rsid w:val="00A859D1"/>
    <w:rsid w:val="00AA6DED"/>
    <w:rsid w:val="00AB1D19"/>
    <w:rsid w:val="00AE3205"/>
    <w:rsid w:val="00B07304"/>
    <w:rsid w:val="00B12714"/>
    <w:rsid w:val="00B2291E"/>
    <w:rsid w:val="00B22EA9"/>
    <w:rsid w:val="00B30929"/>
    <w:rsid w:val="00B57E24"/>
    <w:rsid w:val="00B6274B"/>
    <w:rsid w:val="00B853C1"/>
    <w:rsid w:val="00BA1E47"/>
    <w:rsid w:val="00BA4BA8"/>
    <w:rsid w:val="00BD4965"/>
    <w:rsid w:val="00BF1BCC"/>
    <w:rsid w:val="00C3002F"/>
    <w:rsid w:val="00C310F2"/>
    <w:rsid w:val="00C31CC5"/>
    <w:rsid w:val="00C43AE6"/>
    <w:rsid w:val="00C46BE4"/>
    <w:rsid w:val="00C60166"/>
    <w:rsid w:val="00C620F7"/>
    <w:rsid w:val="00C64D55"/>
    <w:rsid w:val="00C72989"/>
    <w:rsid w:val="00C73E39"/>
    <w:rsid w:val="00C74127"/>
    <w:rsid w:val="00C81CCB"/>
    <w:rsid w:val="00CB3EE5"/>
    <w:rsid w:val="00CB5B52"/>
    <w:rsid w:val="00CC10EE"/>
    <w:rsid w:val="00CD6FE0"/>
    <w:rsid w:val="00D256E9"/>
    <w:rsid w:val="00D573C9"/>
    <w:rsid w:val="00D61431"/>
    <w:rsid w:val="00D62C6E"/>
    <w:rsid w:val="00D65CB0"/>
    <w:rsid w:val="00D66404"/>
    <w:rsid w:val="00D919DA"/>
    <w:rsid w:val="00DB4595"/>
    <w:rsid w:val="00DB5FC7"/>
    <w:rsid w:val="00DB60FB"/>
    <w:rsid w:val="00DC6C53"/>
    <w:rsid w:val="00DD2247"/>
    <w:rsid w:val="00DF16CD"/>
    <w:rsid w:val="00DF1E64"/>
    <w:rsid w:val="00E31423"/>
    <w:rsid w:val="00E316AC"/>
    <w:rsid w:val="00E46180"/>
    <w:rsid w:val="00E54665"/>
    <w:rsid w:val="00E700C5"/>
    <w:rsid w:val="00E8430C"/>
    <w:rsid w:val="00EA78B3"/>
    <w:rsid w:val="00EB42BD"/>
    <w:rsid w:val="00EC134F"/>
    <w:rsid w:val="00EC263B"/>
    <w:rsid w:val="00EC51C1"/>
    <w:rsid w:val="00EF6A60"/>
    <w:rsid w:val="00F314EF"/>
    <w:rsid w:val="00F42A0F"/>
    <w:rsid w:val="00F517AA"/>
    <w:rsid w:val="00F54841"/>
    <w:rsid w:val="00FB4F7E"/>
    <w:rsid w:val="00FC4D2A"/>
    <w:rsid w:val="00FD6495"/>
    <w:rsid w:val="00FD66C1"/>
    <w:rsid w:val="00FE0753"/>
    <w:rsid w:val="00FF4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Royal Children's Hospital</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2018-08-07T11:31:00Z</dcterms:created>
  <dcterms:modified xsi:type="dcterms:W3CDTF">2018-08-07T11:31:00Z</dcterms:modified>
</cp:coreProperties>
</file>