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4B044082" w:rsidR="00B12714" w:rsidRPr="00A720A0" w:rsidRDefault="00A720A0" w:rsidP="003D1F3B">
      <w:pPr>
        <w:spacing w:after="0" w:line="240" w:lineRule="auto"/>
        <w:rPr>
          <w:rFonts w:ascii="Arial" w:eastAsia="Times New Roman" w:hAnsi="Arial" w:cs="Arial"/>
          <w:sz w:val="24"/>
          <w:szCs w:val="20"/>
        </w:rPr>
      </w:pPr>
      <w:r w:rsidRPr="00A720A0">
        <w:rPr>
          <w:rFonts w:ascii="Arial" w:eastAsia="Times New Roman" w:hAnsi="Arial" w:cs="Arial"/>
          <w:b/>
          <w:sz w:val="24"/>
          <w:szCs w:val="20"/>
        </w:rPr>
        <w:t>PAPER N</w:t>
      </w:r>
      <w:bookmarkStart w:id="0" w:name="_GoBack"/>
      <w:bookmarkEnd w:id="0"/>
      <w:r w:rsidRPr="00A720A0">
        <w:rPr>
          <w:rFonts w:ascii="Arial" w:eastAsia="Times New Roman" w:hAnsi="Arial" w:cs="Arial"/>
          <w:b/>
          <w:sz w:val="24"/>
          <w:szCs w:val="20"/>
        </w:rPr>
        <w:t>UMBER #368</w:t>
      </w:r>
    </w:p>
    <w:p w14:paraId="2EE2A5BE" w14:textId="3E9C617B" w:rsidR="00A4472C" w:rsidRPr="00A720A0" w:rsidRDefault="00A720A0" w:rsidP="003D1F3B">
      <w:pPr>
        <w:spacing w:after="0" w:line="240" w:lineRule="auto"/>
        <w:rPr>
          <w:rFonts w:ascii="Arial" w:eastAsia="Times New Roman" w:hAnsi="Arial" w:cs="Arial"/>
          <w:b/>
          <w:szCs w:val="20"/>
        </w:rPr>
      </w:pPr>
      <w:r w:rsidRPr="00A720A0">
        <w:rPr>
          <w:rFonts w:ascii="Arial" w:eastAsia="Times New Roman" w:hAnsi="Arial" w:cs="Arial"/>
          <w:b/>
          <w:szCs w:val="20"/>
        </w:rPr>
        <w:t xml:space="preserve">How effective are interventions which seek to improve access and quality of civic infrastructure and amenities?    </w:t>
      </w:r>
    </w:p>
    <w:p w14:paraId="28F602DA" w14:textId="26C6831A" w:rsidR="00CB3EE5" w:rsidRPr="0083790A" w:rsidRDefault="00CB3EE5" w:rsidP="007D52AA">
      <w:pPr>
        <w:spacing w:after="0" w:line="240" w:lineRule="auto"/>
        <w:rPr>
          <w:rFonts w:ascii="Arial" w:hAnsi="Arial" w:cs="Arial"/>
          <w:b/>
          <w:sz w:val="20"/>
          <w:szCs w:val="20"/>
          <w:lang w:val="en-AU"/>
        </w:rPr>
      </w:pPr>
    </w:p>
    <w:p w14:paraId="65E09A97" w14:textId="77777777" w:rsidR="00A720A0" w:rsidRDefault="00A720A0" w:rsidP="007D52AA">
      <w:pPr>
        <w:spacing w:after="0" w:line="240" w:lineRule="auto"/>
        <w:rPr>
          <w:rFonts w:ascii="Arial" w:eastAsia="Times New Roman" w:hAnsi="Arial" w:cs="Arial"/>
          <w:b/>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09ABAD67" w14:textId="468839BB" w:rsidR="00EB42BD" w:rsidRPr="0083790A" w:rsidRDefault="00A720A0" w:rsidP="007D52AA">
      <w:pPr>
        <w:spacing w:after="0" w:line="240" w:lineRule="auto"/>
        <w:rPr>
          <w:rFonts w:ascii="Arial" w:hAnsi="Arial" w:cs="Arial"/>
          <w:b/>
          <w:sz w:val="20"/>
          <w:szCs w:val="20"/>
          <w:lang w:val="en-AU"/>
        </w:rPr>
      </w:pPr>
      <w:r w:rsidRPr="00A720A0">
        <w:rPr>
          <w:rFonts w:ascii="Arial" w:eastAsia="Times New Roman" w:hAnsi="Arial" w:cs="Arial"/>
          <w:sz w:val="20"/>
          <w:szCs w:val="20"/>
        </w:rPr>
        <w:t>Dr. Ganesh Devkar</w:t>
      </w:r>
      <w:r w:rsidRPr="00A720A0">
        <w:rPr>
          <w:rFonts w:ascii="Arial" w:eastAsia="Times New Roman" w:hAnsi="Arial" w:cs="Arial"/>
          <w:sz w:val="20"/>
          <w:szCs w:val="20"/>
          <w:vertAlign w:val="superscript"/>
        </w:rPr>
        <w:t>1</w:t>
      </w:r>
      <w:r w:rsidRPr="00A720A0">
        <w:rPr>
          <w:rFonts w:ascii="Arial" w:eastAsia="Times New Roman" w:hAnsi="Arial" w:cs="Arial"/>
          <w:sz w:val="20"/>
          <w:szCs w:val="20"/>
        </w:rPr>
        <w:t xml:space="preserve">, Dr. </w:t>
      </w:r>
      <w:proofErr w:type="spellStart"/>
      <w:r w:rsidRPr="00A720A0">
        <w:rPr>
          <w:rFonts w:ascii="Arial" w:eastAsia="Times New Roman" w:hAnsi="Arial" w:cs="Arial"/>
          <w:sz w:val="20"/>
          <w:szCs w:val="20"/>
        </w:rPr>
        <w:t>Thillai</w:t>
      </w:r>
      <w:proofErr w:type="spellEnd"/>
      <w:r w:rsidRPr="00A720A0">
        <w:rPr>
          <w:rFonts w:ascii="Arial" w:eastAsia="Times New Roman" w:hAnsi="Arial" w:cs="Arial"/>
          <w:sz w:val="20"/>
          <w:szCs w:val="20"/>
        </w:rPr>
        <w:t xml:space="preserve"> </w:t>
      </w:r>
      <w:proofErr w:type="spellStart"/>
      <w:r w:rsidRPr="00A720A0">
        <w:rPr>
          <w:rFonts w:ascii="Arial" w:eastAsia="Times New Roman" w:hAnsi="Arial" w:cs="Arial"/>
          <w:sz w:val="20"/>
          <w:szCs w:val="20"/>
        </w:rPr>
        <w:t>Rajan</w:t>
      </w:r>
      <w:proofErr w:type="spellEnd"/>
      <w:r w:rsidRPr="00A720A0">
        <w:rPr>
          <w:rFonts w:ascii="Arial" w:eastAsia="Times New Roman" w:hAnsi="Arial" w:cs="Arial"/>
          <w:sz w:val="20"/>
          <w:szCs w:val="20"/>
        </w:rPr>
        <w:t xml:space="preserve"> A.</w:t>
      </w:r>
      <w:r w:rsidRPr="00A720A0">
        <w:rPr>
          <w:rFonts w:ascii="Arial" w:eastAsia="Times New Roman" w:hAnsi="Arial" w:cs="Arial"/>
          <w:sz w:val="20"/>
          <w:szCs w:val="20"/>
          <w:vertAlign w:val="superscript"/>
        </w:rPr>
        <w:t>2</w:t>
      </w:r>
      <w:r w:rsidRPr="00A720A0">
        <w:rPr>
          <w:rFonts w:ascii="Arial" w:eastAsia="Times New Roman" w:hAnsi="Arial" w:cs="Arial"/>
          <w:sz w:val="20"/>
          <w:szCs w:val="20"/>
        </w:rPr>
        <w:t xml:space="preserve">, </w:t>
      </w:r>
      <w:r>
        <w:rPr>
          <w:rFonts w:ascii="Arial" w:eastAsia="Times New Roman" w:hAnsi="Arial" w:cs="Arial"/>
          <w:sz w:val="20"/>
          <w:szCs w:val="20"/>
        </w:rPr>
        <w:t xml:space="preserve">and Dr. </w:t>
      </w:r>
      <w:proofErr w:type="spellStart"/>
      <w:r>
        <w:rPr>
          <w:rFonts w:ascii="Arial" w:eastAsia="Times New Roman" w:hAnsi="Arial" w:cs="Arial"/>
          <w:sz w:val="20"/>
          <w:szCs w:val="20"/>
        </w:rPr>
        <w:t>Venkata</w:t>
      </w:r>
      <w:proofErr w:type="spellEnd"/>
      <w:r>
        <w:rPr>
          <w:rFonts w:ascii="Arial" w:eastAsia="Times New Roman" w:hAnsi="Arial" w:cs="Arial"/>
          <w:sz w:val="20"/>
          <w:szCs w:val="20"/>
        </w:rPr>
        <w:t xml:space="preserve"> Santosh Kumar Delhi</w:t>
      </w:r>
      <w:r w:rsidRPr="00A720A0">
        <w:rPr>
          <w:rFonts w:ascii="Arial" w:eastAsia="Times New Roman" w:hAnsi="Arial" w:cs="Arial"/>
          <w:sz w:val="20"/>
          <w:szCs w:val="20"/>
          <w:vertAlign w:val="superscript"/>
        </w:rPr>
        <w:t>3</w:t>
      </w:r>
      <w:r w:rsidRPr="00A720A0">
        <w:rPr>
          <w:rFonts w:ascii="Arial" w:eastAsia="Times New Roman" w:hAnsi="Arial" w:cs="Arial"/>
          <w:sz w:val="20"/>
          <w:szCs w:val="20"/>
        </w:rPr>
        <w:t xml:space="preserve">    </w:t>
      </w:r>
    </w:p>
    <w:p w14:paraId="29DB496A" w14:textId="25CE11BA" w:rsidR="000F00DD" w:rsidRDefault="000F00DD" w:rsidP="007D52AA">
      <w:pPr>
        <w:spacing w:after="0" w:line="240" w:lineRule="auto"/>
        <w:rPr>
          <w:rFonts w:ascii="Arial" w:hAnsi="Arial" w:cs="Arial"/>
          <w:b/>
          <w:lang w:val="en-AU"/>
        </w:rPr>
      </w:pPr>
    </w:p>
    <w:p w14:paraId="51B4D416" w14:textId="77777777" w:rsidR="00A720A0" w:rsidRDefault="00EB42BD" w:rsidP="00457737">
      <w:pPr>
        <w:rPr>
          <w:rFonts w:ascii="Arial" w:hAnsi="Arial" w:cs="Arial"/>
          <w:b/>
          <w:sz w:val="20"/>
          <w:szCs w:val="20"/>
          <w:lang w:val="en-AU"/>
        </w:rPr>
      </w:pPr>
      <w:r w:rsidRPr="0083790A">
        <w:rPr>
          <w:rFonts w:ascii="Arial" w:hAnsi="Arial" w:cs="Arial"/>
          <w:b/>
          <w:sz w:val="20"/>
          <w:szCs w:val="20"/>
          <w:lang w:val="en-AU"/>
        </w:rPr>
        <w:t>Affiliation</w:t>
      </w:r>
    </w:p>
    <w:p w14:paraId="28EFA316" w14:textId="707459CC" w:rsidR="00A720A0" w:rsidRDefault="00A720A0" w:rsidP="00A720A0">
      <w:pPr>
        <w:pStyle w:val="ListParagraph"/>
        <w:numPr>
          <w:ilvl w:val="0"/>
          <w:numId w:val="15"/>
        </w:numPr>
        <w:rPr>
          <w:rFonts w:ascii="Arial" w:hAnsi="Arial" w:cs="Arial"/>
          <w:sz w:val="20"/>
          <w:szCs w:val="20"/>
          <w:lang w:val="en-AU"/>
        </w:rPr>
      </w:pPr>
      <w:r>
        <w:rPr>
          <w:rFonts w:ascii="Arial" w:hAnsi="Arial" w:cs="Arial"/>
          <w:sz w:val="20"/>
          <w:szCs w:val="20"/>
          <w:lang w:val="en-AU"/>
        </w:rPr>
        <w:t>CEPT University</w:t>
      </w:r>
    </w:p>
    <w:p w14:paraId="1A92500D" w14:textId="2D635B73" w:rsidR="00A720A0" w:rsidRDefault="00A720A0" w:rsidP="00A720A0">
      <w:pPr>
        <w:pStyle w:val="ListParagraph"/>
        <w:numPr>
          <w:ilvl w:val="0"/>
          <w:numId w:val="15"/>
        </w:numPr>
        <w:rPr>
          <w:rFonts w:ascii="Arial" w:hAnsi="Arial" w:cs="Arial"/>
          <w:sz w:val="20"/>
          <w:szCs w:val="20"/>
          <w:lang w:val="en-AU"/>
        </w:rPr>
      </w:pPr>
      <w:r>
        <w:rPr>
          <w:rFonts w:ascii="Arial" w:hAnsi="Arial" w:cs="Arial"/>
          <w:sz w:val="20"/>
          <w:szCs w:val="20"/>
          <w:lang w:val="en-AU"/>
        </w:rPr>
        <w:t>Indian Institute of Technology Madras</w:t>
      </w:r>
    </w:p>
    <w:p w14:paraId="28EFE90C" w14:textId="58FEE533" w:rsidR="0083790A" w:rsidRPr="00A720A0" w:rsidRDefault="00A720A0" w:rsidP="00457737">
      <w:pPr>
        <w:pStyle w:val="ListParagraph"/>
        <w:numPr>
          <w:ilvl w:val="0"/>
          <w:numId w:val="15"/>
        </w:numPr>
        <w:rPr>
          <w:rFonts w:ascii="Arial" w:hAnsi="Arial" w:cs="Arial"/>
          <w:sz w:val="20"/>
          <w:szCs w:val="20"/>
          <w:lang w:val="en-AU"/>
        </w:rPr>
      </w:pPr>
      <w:r>
        <w:rPr>
          <w:rFonts w:ascii="Arial" w:hAnsi="Arial" w:cs="Arial"/>
          <w:sz w:val="20"/>
          <w:szCs w:val="20"/>
          <w:lang w:val="en-AU"/>
        </w:rPr>
        <w:t>Indian Institute of Technology Bombay</w:t>
      </w:r>
    </w:p>
    <w:p w14:paraId="44EC24DD" w14:textId="45ABAFAB" w:rsidR="00796ABC" w:rsidRDefault="00796ABC" w:rsidP="00796ABC">
      <w:pPr>
        <w:spacing w:after="0" w:line="240" w:lineRule="auto"/>
        <w:rPr>
          <w:rFonts w:ascii="Arial" w:eastAsia="Times New Roman" w:hAnsi="Arial" w:cs="Arial"/>
          <w:b/>
          <w:sz w:val="20"/>
          <w:szCs w:val="20"/>
        </w:rPr>
      </w:pPr>
      <w:r>
        <w:rPr>
          <w:rFonts w:ascii="Arial" w:eastAsia="Times New Roman" w:hAnsi="Arial" w:cs="Arial"/>
          <w:b/>
          <w:sz w:val="20"/>
          <w:szCs w:val="20"/>
        </w:rPr>
        <w:t>Country of residence</w:t>
      </w:r>
    </w:p>
    <w:p w14:paraId="667EFA4D" w14:textId="756245CE" w:rsidR="00A720A0" w:rsidRPr="00A720A0" w:rsidRDefault="00A720A0" w:rsidP="00796ABC">
      <w:pPr>
        <w:spacing w:after="0" w:line="240" w:lineRule="auto"/>
        <w:rPr>
          <w:rFonts w:ascii="Arial" w:eastAsia="Times New Roman" w:hAnsi="Arial" w:cs="Arial"/>
          <w:sz w:val="20"/>
          <w:szCs w:val="20"/>
        </w:rPr>
      </w:pPr>
      <w:r w:rsidRPr="00A720A0">
        <w:rPr>
          <w:rFonts w:ascii="Arial" w:eastAsia="Times New Roman" w:hAnsi="Arial" w:cs="Arial"/>
          <w:sz w:val="20"/>
          <w:szCs w:val="20"/>
        </w:rPr>
        <w:t xml:space="preserve">India </w:t>
      </w:r>
    </w:p>
    <w:p w14:paraId="324F1591" w14:textId="561CF5BB" w:rsidR="00796ABC" w:rsidRPr="0083790A" w:rsidRDefault="00796ABC" w:rsidP="00796ABC">
      <w:pPr>
        <w:spacing w:after="0" w:line="240" w:lineRule="auto"/>
        <w:rPr>
          <w:rFonts w:ascii="Arial" w:eastAsia="Times New Roman" w:hAnsi="Arial" w:cs="Arial"/>
          <w:sz w:val="20"/>
          <w:szCs w:val="20"/>
        </w:rPr>
      </w:pPr>
    </w:p>
    <w:p w14:paraId="483A37B9" w14:textId="300BF78D" w:rsidR="003D1F3B" w:rsidRDefault="003B4148" w:rsidP="007D52AA">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08ACE972" w14:textId="27E6398F" w:rsidR="00A720A0" w:rsidRPr="00A720A0" w:rsidRDefault="00A720A0" w:rsidP="00A720A0">
      <w:pPr>
        <w:spacing w:after="0" w:line="240" w:lineRule="auto"/>
        <w:rPr>
          <w:rFonts w:ascii="Arial" w:hAnsi="Arial" w:cs="Arial"/>
          <w:sz w:val="20"/>
          <w:szCs w:val="20"/>
          <w:lang w:val="en-AU"/>
        </w:rPr>
      </w:pPr>
      <w:r w:rsidRPr="00A720A0">
        <w:rPr>
          <w:rFonts w:ascii="Arial" w:hAnsi="Arial" w:cs="Arial"/>
          <w:sz w:val="20"/>
          <w:szCs w:val="20"/>
          <w:lang w:val="en-AU"/>
        </w:rPr>
        <w:t>The aims of this evidence synthesis are:</w:t>
      </w:r>
    </w:p>
    <w:p w14:paraId="6C845EE7" w14:textId="21A2C818" w:rsidR="00A720A0" w:rsidRPr="00A720A0" w:rsidRDefault="00A720A0" w:rsidP="00A720A0">
      <w:pPr>
        <w:pStyle w:val="ListParagraph"/>
        <w:numPr>
          <w:ilvl w:val="0"/>
          <w:numId w:val="16"/>
        </w:numPr>
        <w:spacing w:after="0" w:line="240" w:lineRule="auto"/>
        <w:rPr>
          <w:rFonts w:ascii="Arial" w:hAnsi="Arial" w:cs="Arial"/>
          <w:sz w:val="20"/>
          <w:szCs w:val="20"/>
          <w:lang w:val="en-AU"/>
        </w:rPr>
      </w:pPr>
      <w:r w:rsidRPr="00A720A0">
        <w:rPr>
          <w:rFonts w:ascii="Arial" w:hAnsi="Arial" w:cs="Arial"/>
          <w:sz w:val="20"/>
          <w:szCs w:val="20"/>
          <w:lang w:val="en-AU"/>
        </w:rPr>
        <w:t>Finding the effectiveness of various interventions that seek to improve access and quality of civic infrastructure and services</w:t>
      </w:r>
    </w:p>
    <w:p w14:paraId="2D39AF5E" w14:textId="42AB21B9" w:rsidR="00A720A0" w:rsidRPr="00A720A0" w:rsidRDefault="00A720A0" w:rsidP="00A720A0">
      <w:pPr>
        <w:pStyle w:val="ListParagraph"/>
        <w:numPr>
          <w:ilvl w:val="0"/>
          <w:numId w:val="16"/>
        </w:numPr>
        <w:spacing w:after="0" w:line="240" w:lineRule="auto"/>
        <w:rPr>
          <w:rFonts w:ascii="Arial" w:hAnsi="Arial" w:cs="Arial"/>
          <w:sz w:val="20"/>
          <w:szCs w:val="20"/>
          <w:lang w:val="en-AU"/>
        </w:rPr>
      </w:pPr>
      <w:r w:rsidRPr="00A720A0">
        <w:rPr>
          <w:rFonts w:ascii="Arial" w:hAnsi="Arial" w:cs="Arial"/>
          <w:sz w:val="20"/>
          <w:szCs w:val="20"/>
          <w:lang w:val="en-AU"/>
        </w:rPr>
        <w:t>Identifying key characteristics of successful interventions and understanding the context in which these interventions are likely to be more successful</w:t>
      </w:r>
    </w:p>
    <w:p w14:paraId="19096EE9" w14:textId="7A92F74E" w:rsidR="00A720A0" w:rsidRPr="00A720A0" w:rsidRDefault="00A720A0" w:rsidP="00A720A0">
      <w:pPr>
        <w:pStyle w:val="ListParagraph"/>
        <w:numPr>
          <w:ilvl w:val="0"/>
          <w:numId w:val="16"/>
        </w:numPr>
        <w:spacing w:after="0" w:line="240" w:lineRule="auto"/>
        <w:rPr>
          <w:rFonts w:ascii="Arial" w:hAnsi="Arial" w:cs="Arial"/>
          <w:sz w:val="20"/>
          <w:szCs w:val="20"/>
          <w:lang w:val="en-AU"/>
        </w:rPr>
      </w:pPr>
      <w:r w:rsidRPr="00A720A0">
        <w:rPr>
          <w:rFonts w:ascii="Arial" w:hAnsi="Arial" w:cs="Arial"/>
          <w:sz w:val="20"/>
          <w:szCs w:val="20"/>
          <w:lang w:val="en-AU"/>
        </w:rPr>
        <w:t>Specifically focus on the urban areas in developing countries, given the critical need for infrastructure provision in fast growing urban areas in developing countries</w:t>
      </w:r>
    </w:p>
    <w:p w14:paraId="30DA6058" w14:textId="19F0983E" w:rsidR="007231EB" w:rsidRPr="0083790A" w:rsidRDefault="00A720A0" w:rsidP="00A720A0">
      <w:pPr>
        <w:spacing w:after="0" w:line="240" w:lineRule="auto"/>
        <w:rPr>
          <w:rFonts w:ascii="Arial" w:hAnsi="Arial" w:cs="Arial"/>
          <w:sz w:val="20"/>
          <w:szCs w:val="20"/>
          <w:lang w:val="en-AU"/>
        </w:rPr>
      </w:pPr>
      <w:r w:rsidRPr="00A720A0">
        <w:rPr>
          <w:rFonts w:ascii="Arial" w:hAnsi="Arial" w:cs="Arial"/>
          <w:sz w:val="20"/>
          <w:szCs w:val="20"/>
          <w:lang w:val="en-AU"/>
        </w:rPr>
        <w:t xml:space="preserve">   </w:t>
      </w:r>
    </w:p>
    <w:p w14:paraId="284CCF96" w14:textId="6300D92D" w:rsidR="008E0DC2" w:rsidRPr="00A720A0"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12BBE9B9" w14:textId="47592FD1" w:rsidR="00A720A0" w:rsidRPr="00A720A0" w:rsidRDefault="00A720A0" w:rsidP="00A720A0">
      <w:pPr>
        <w:spacing w:after="0" w:line="240" w:lineRule="auto"/>
        <w:rPr>
          <w:rFonts w:ascii="Arial" w:hAnsi="Arial" w:cs="Arial"/>
          <w:sz w:val="20"/>
          <w:szCs w:val="20"/>
          <w:lang w:val="en-AU"/>
        </w:rPr>
      </w:pPr>
      <w:r w:rsidRPr="00A720A0">
        <w:rPr>
          <w:rFonts w:ascii="Arial" w:hAnsi="Arial" w:cs="Arial"/>
          <w:sz w:val="20"/>
          <w:szCs w:val="20"/>
          <w:lang w:val="en-AU"/>
        </w:rPr>
        <w:t xml:space="preserve">The methodology consists of following steps: </w:t>
      </w:r>
    </w:p>
    <w:p w14:paraId="4E022251" w14:textId="65659EC7" w:rsidR="00A720A0" w:rsidRPr="00A720A0" w:rsidRDefault="00A720A0" w:rsidP="00A720A0">
      <w:pPr>
        <w:pStyle w:val="ListParagraph"/>
        <w:numPr>
          <w:ilvl w:val="0"/>
          <w:numId w:val="19"/>
        </w:numPr>
        <w:spacing w:after="0" w:line="240" w:lineRule="auto"/>
        <w:rPr>
          <w:rFonts w:ascii="Arial" w:hAnsi="Arial" w:cs="Arial"/>
          <w:sz w:val="20"/>
          <w:szCs w:val="20"/>
          <w:lang w:val="en-AU"/>
        </w:rPr>
      </w:pPr>
      <w:r w:rsidRPr="00A720A0">
        <w:rPr>
          <w:rFonts w:ascii="Arial" w:hAnsi="Arial" w:cs="Arial"/>
          <w:sz w:val="20"/>
          <w:szCs w:val="20"/>
          <w:lang w:val="en-AU"/>
        </w:rPr>
        <w:t xml:space="preserve">Analysis of systematic reviews (SRs) for identification of contextual factors that mediate between "cause" and "effect", and preparation of fish bone diagrams indicating factors which had an effect on the effectiveness of interventions </w:t>
      </w:r>
    </w:p>
    <w:p w14:paraId="32B92438" w14:textId="75E32C25" w:rsidR="007231EB" w:rsidRPr="00A720A0" w:rsidRDefault="00A720A0" w:rsidP="00A720A0">
      <w:pPr>
        <w:pStyle w:val="ListParagraph"/>
        <w:numPr>
          <w:ilvl w:val="0"/>
          <w:numId w:val="19"/>
        </w:numPr>
        <w:spacing w:after="0" w:line="240" w:lineRule="auto"/>
        <w:rPr>
          <w:rFonts w:ascii="Arial" w:hAnsi="Arial" w:cs="Arial"/>
          <w:sz w:val="20"/>
          <w:szCs w:val="20"/>
          <w:lang w:val="en-AU"/>
        </w:rPr>
      </w:pPr>
      <w:r w:rsidRPr="00A720A0">
        <w:rPr>
          <w:rFonts w:ascii="Arial" w:hAnsi="Arial" w:cs="Arial"/>
          <w:sz w:val="20"/>
          <w:szCs w:val="20"/>
          <w:lang w:val="en-AU"/>
        </w:rPr>
        <w:t>Synthesis of the evidence in the form of numerical summary for the different categories of interventions: (</w:t>
      </w:r>
      <w:proofErr w:type="spellStart"/>
      <w:r w:rsidRPr="00A720A0">
        <w:rPr>
          <w:rFonts w:ascii="Arial" w:hAnsi="Arial" w:cs="Arial"/>
          <w:sz w:val="20"/>
          <w:szCs w:val="20"/>
          <w:lang w:val="en-AU"/>
        </w:rPr>
        <w:t>i</w:t>
      </w:r>
      <w:proofErr w:type="spellEnd"/>
      <w:r w:rsidRPr="00A720A0">
        <w:rPr>
          <w:rFonts w:ascii="Arial" w:hAnsi="Arial" w:cs="Arial"/>
          <w:sz w:val="20"/>
          <w:szCs w:val="20"/>
          <w:lang w:val="en-AU"/>
        </w:rPr>
        <w:t xml:space="preserve">) public private partnerships, (ii) physical infrastructure investments, (iii) institutional and regulatory reforms, (iv) urban planning and (v) participation of developmental agencies. The synthesis was done for access and quality outcomes for both immediate benefits (effort and time) as well as long term impacts (health, social, economic and quality of life)   </w:t>
      </w:r>
    </w:p>
    <w:p w14:paraId="5B627014" w14:textId="77777777" w:rsidR="00A720A0" w:rsidRDefault="00A720A0" w:rsidP="00A720A0">
      <w:pPr>
        <w:spacing w:after="0" w:line="240" w:lineRule="auto"/>
        <w:rPr>
          <w:rFonts w:ascii="Arial" w:hAnsi="Arial" w:cs="Arial"/>
          <w:b/>
          <w:sz w:val="20"/>
          <w:szCs w:val="20"/>
          <w:lang w:val="en-AU"/>
        </w:rPr>
      </w:pPr>
    </w:p>
    <w:p w14:paraId="5CF3746E" w14:textId="36256A0F" w:rsidR="00A720A0" w:rsidRPr="00A720A0" w:rsidRDefault="00A720A0" w:rsidP="00A720A0">
      <w:pPr>
        <w:spacing w:after="0" w:line="240" w:lineRule="auto"/>
        <w:rPr>
          <w:rFonts w:ascii="Arial" w:hAnsi="Arial" w:cs="Arial"/>
          <w:sz w:val="20"/>
          <w:szCs w:val="20"/>
          <w:lang w:val="en-AU"/>
        </w:rPr>
      </w:pPr>
      <w:r w:rsidRPr="00A720A0">
        <w:rPr>
          <w:rFonts w:ascii="Arial" w:hAnsi="Arial" w:cs="Arial"/>
          <w:b/>
          <w:sz w:val="20"/>
          <w:szCs w:val="20"/>
          <w:lang w:val="en-AU"/>
        </w:rPr>
        <w:t>Main findings</w:t>
      </w:r>
    </w:p>
    <w:p w14:paraId="02C686FE" w14:textId="77777777" w:rsidR="00A720A0" w:rsidRPr="00A720A0" w:rsidRDefault="00A720A0" w:rsidP="00A720A0">
      <w:pPr>
        <w:pStyle w:val="ListParagraph"/>
        <w:numPr>
          <w:ilvl w:val="0"/>
          <w:numId w:val="20"/>
        </w:numPr>
        <w:spacing w:after="0" w:line="240" w:lineRule="auto"/>
        <w:rPr>
          <w:rFonts w:ascii="Arial" w:hAnsi="Arial" w:cs="Arial"/>
          <w:sz w:val="20"/>
          <w:szCs w:val="20"/>
          <w:lang w:val="en-AU"/>
        </w:rPr>
      </w:pPr>
      <w:r w:rsidRPr="00A720A0">
        <w:rPr>
          <w:rFonts w:ascii="Arial" w:hAnsi="Arial" w:cs="Arial"/>
          <w:sz w:val="20"/>
          <w:szCs w:val="20"/>
          <w:lang w:val="en-AU"/>
        </w:rPr>
        <w:t>Physical infrastructure investments led to positive outcomes on access, specifically, affordability, in water supply. In sanitation and electricity supply, the result was positive on connectivity and quality. However, the impact on affordability has been mixed in the electricity sector. The overall impact on long term outcomes has been positive.</w:t>
      </w:r>
    </w:p>
    <w:p w14:paraId="15356863" w14:textId="77777777" w:rsidR="00A720A0" w:rsidRPr="00A720A0" w:rsidRDefault="00A720A0" w:rsidP="00A720A0">
      <w:pPr>
        <w:pStyle w:val="ListParagraph"/>
        <w:numPr>
          <w:ilvl w:val="0"/>
          <w:numId w:val="20"/>
        </w:numPr>
        <w:spacing w:after="0" w:line="240" w:lineRule="auto"/>
        <w:rPr>
          <w:rFonts w:ascii="Arial" w:hAnsi="Arial" w:cs="Arial"/>
          <w:sz w:val="20"/>
          <w:szCs w:val="20"/>
          <w:lang w:val="en-AU"/>
        </w:rPr>
      </w:pPr>
      <w:r w:rsidRPr="00A720A0">
        <w:rPr>
          <w:rFonts w:ascii="Arial" w:hAnsi="Arial" w:cs="Arial"/>
          <w:sz w:val="20"/>
          <w:szCs w:val="20"/>
          <w:lang w:val="en-AU"/>
        </w:rPr>
        <w:t>Urban planning interventions yielded positive to mixed effect on connectivity and quality related to outcomes in water supply and sanitation sector. It had positive to mixed impact on health.</w:t>
      </w:r>
    </w:p>
    <w:p w14:paraId="3CF25497" w14:textId="77777777" w:rsidR="00A720A0" w:rsidRPr="00A720A0" w:rsidRDefault="00A720A0" w:rsidP="00A720A0">
      <w:pPr>
        <w:pStyle w:val="ListParagraph"/>
        <w:numPr>
          <w:ilvl w:val="0"/>
          <w:numId w:val="20"/>
        </w:numPr>
        <w:spacing w:after="0" w:line="240" w:lineRule="auto"/>
        <w:rPr>
          <w:rFonts w:ascii="Arial" w:hAnsi="Arial" w:cs="Arial"/>
          <w:sz w:val="20"/>
          <w:szCs w:val="20"/>
          <w:lang w:val="en-AU"/>
        </w:rPr>
      </w:pPr>
      <w:r w:rsidRPr="00A720A0">
        <w:rPr>
          <w:rFonts w:ascii="Arial" w:hAnsi="Arial" w:cs="Arial"/>
          <w:sz w:val="20"/>
          <w:szCs w:val="20"/>
          <w:lang w:val="en-AU"/>
        </w:rPr>
        <w:t>Institutional and regulatory reforms resulted in positive outcomes on affordability and connectivity in electricity and telecom sector respectively.</w:t>
      </w:r>
    </w:p>
    <w:p w14:paraId="37A3FF4B" w14:textId="77777777" w:rsidR="00A720A0" w:rsidRPr="00A720A0" w:rsidRDefault="00A720A0" w:rsidP="00A720A0">
      <w:pPr>
        <w:pStyle w:val="ListParagraph"/>
        <w:numPr>
          <w:ilvl w:val="0"/>
          <w:numId w:val="20"/>
        </w:numPr>
        <w:spacing w:after="0" w:line="240" w:lineRule="auto"/>
        <w:rPr>
          <w:rFonts w:ascii="Arial" w:hAnsi="Arial" w:cs="Arial"/>
          <w:sz w:val="20"/>
          <w:szCs w:val="20"/>
          <w:lang w:val="en-AU"/>
        </w:rPr>
      </w:pPr>
      <w:r w:rsidRPr="00A720A0">
        <w:rPr>
          <w:rFonts w:ascii="Arial" w:hAnsi="Arial" w:cs="Arial"/>
          <w:sz w:val="20"/>
          <w:szCs w:val="20"/>
          <w:lang w:val="en-AU"/>
        </w:rPr>
        <w:t>Private sector participation has positive effect on connectivity parameters in electricity and telecom sector.</w:t>
      </w:r>
    </w:p>
    <w:p w14:paraId="2985C34E" w14:textId="77777777" w:rsidR="00A720A0" w:rsidRPr="00A720A0" w:rsidRDefault="00A720A0" w:rsidP="00A720A0">
      <w:pPr>
        <w:spacing w:after="0" w:line="240" w:lineRule="auto"/>
        <w:rPr>
          <w:rFonts w:ascii="Arial" w:hAnsi="Arial" w:cs="Arial"/>
          <w:sz w:val="20"/>
          <w:szCs w:val="20"/>
          <w:lang w:val="en-AU"/>
        </w:rPr>
      </w:pPr>
    </w:p>
    <w:p w14:paraId="78582216" w14:textId="0BA23FC3" w:rsidR="007231EB" w:rsidRPr="0083790A" w:rsidRDefault="00A720A0" w:rsidP="00A720A0">
      <w:pPr>
        <w:spacing w:after="0" w:line="240" w:lineRule="auto"/>
        <w:rPr>
          <w:rFonts w:ascii="Arial" w:hAnsi="Arial" w:cs="Arial"/>
          <w:sz w:val="20"/>
          <w:szCs w:val="20"/>
          <w:lang w:val="en-AU"/>
        </w:rPr>
      </w:pPr>
      <w:r w:rsidRPr="00A720A0">
        <w:rPr>
          <w:rFonts w:ascii="Arial" w:hAnsi="Arial" w:cs="Arial"/>
          <w:sz w:val="20"/>
          <w:szCs w:val="20"/>
          <w:lang w:val="en-AU"/>
        </w:rPr>
        <w:t xml:space="preserve">   </w:t>
      </w:r>
    </w:p>
    <w:p w14:paraId="75039502" w14:textId="03D48D1D" w:rsidR="00D919DA" w:rsidRPr="00A720A0" w:rsidRDefault="007231EB" w:rsidP="00A720A0">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D919DA" w:rsidRPr="00A720A0"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DCEC" w14:textId="77777777" w:rsidR="00FE770B" w:rsidRDefault="00FE770B" w:rsidP="003C4168">
      <w:pPr>
        <w:spacing w:after="0" w:line="240" w:lineRule="auto"/>
      </w:pPr>
      <w:r>
        <w:separator/>
      </w:r>
    </w:p>
  </w:endnote>
  <w:endnote w:type="continuationSeparator" w:id="0">
    <w:p w14:paraId="570988D5" w14:textId="77777777" w:rsidR="00FE770B" w:rsidRDefault="00FE770B"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Yu Gothic UI"/>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EA4079D"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24E4F" w14:textId="77777777" w:rsidR="00FE770B" w:rsidRDefault="00FE770B" w:rsidP="003C4168">
      <w:pPr>
        <w:spacing w:after="0" w:line="240" w:lineRule="auto"/>
      </w:pPr>
      <w:r>
        <w:separator/>
      </w:r>
    </w:p>
  </w:footnote>
  <w:footnote w:type="continuationSeparator" w:id="0">
    <w:p w14:paraId="698A6333" w14:textId="77777777" w:rsidR="00FE770B" w:rsidRDefault="00FE770B"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B2A1BA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33DD3"/>
    <w:multiLevelType w:val="hybridMultilevel"/>
    <w:tmpl w:val="0D12B1B0"/>
    <w:lvl w:ilvl="0" w:tplc="08090001">
      <w:start w:val="1"/>
      <w:numFmt w:val="bullet"/>
      <w:lvlText w:val=""/>
      <w:lvlJc w:val="left"/>
      <w:pPr>
        <w:ind w:left="720" w:hanging="360"/>
      </w:pPr>
      <w:rPr>
        <w:rFonts w:ascii="Symbol" w:hAnsi="Symbol" w:hint="default"/>
      </w:rPr>
    </w:lvl>
    <w:lvl w:ilvl="1" w:tplc="369C5E14">
      <w:numFmt w:val="bullet"/>
      <w:lvlText w:val="•"/>
      <w:lvlJc w:val="left"/>
      <w:pPr>
        <w:ind w:left="1440" w:hanging="36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F62FB"/>
    <w:multiLevelType w:val="hybridMultilevel"/>
    <w:tmpl w:val="024C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927DD"/>
    <w:multiLevelType w:val="hybridMultilevel"/>
    <w:tmpl w:val="E0DC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B7F0E"/>
    <w:multiLevelType w:val="hybridMultilevel"/>
    <w:tmpl w:val="46AEE98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2F247B"/>
    <w:multiLevelType w:val="hybridMultilevel"/>
    <w:tmpl w:val="99C6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676844"/>
    <w:multiLevelType w:val="hybridMultilevel"/>
    <w:tmpl w:val="B57CE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E12A3A"/>
    <w:multiLevelType w:val="hybridMultilevel"/>
    <w:tmpl w:val="5AF841E2"/>
    <w:lvl w:ilvl="0" w:tplc="80CEFE8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2"/>
  </w:num>
  <w:num w:numId="5">
    <w:abstractNumId w:val="12"/>
  </w:num>
  <w:num w:numId="6">
    <w:abstractNumId w:val="1"/>
  </w:num>
  <w:num w:numId="7">
    <w:abstractNumId w:val="3"/>
  </w:num>
  <w:num w:numId="8">
    <w:abstractNumId w:val="17"/>
  </w:num>
  <w:num w:numId="9">
    <w:abstractNumId w:val="8"/>
  </w:num>
  <w:num w:numId="10">
    <w:abstractNumId w:val="14"/>
  </w:num>
  <w:num w:numId="11">
    <w:abstractNumId w:val="16"/>
  </w:num>
  <w:num w:numId="12">
    <w:abstractNumId w:val="11"/>
  </w:num>
  <w:num w:numId="13">
    <w:abstractNumId w:val="0"/>
  </w:num>
  <w:num w:numId="14">
    <w:abstractNumId w:val="10"/>
  </w:num>
  <w:num w:numId="15">
    <w:abstractNumId w:val="18"/>
  </w:num>
  <w:num w:numId="16">
    <w:abstractNumId w:val="6"/>
  </w:num>
  <w:num w:numId="17">
    <w:abstractNumId w:val="19"/>
  </w:num>
  <w:num w:numId="18">
    <w:abstractNumId w:val="5"/>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F007E"/>
    <w:rsid w:val="00600146"/>
    <w:rsid w:val="006040CD"/>
    <w:rsid w:val="0060416A"/>
    <w:rsid w:val="00610761"/>
    <w:rsid w:val="00635D4A"/>
    <w:rsid w:val="00635DAC"/>
    <w:rsid w:val="00643BF0"/>
    <w:rsid w:val="00646636"/>
    <w:rsid w:val="0068048C"/>
    <w:rsid w:val="00696A08"/>
    <w:rsid w:val="006A5A86"/>
    <w:rsid w:val="006B08B3"/>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0DC2"/>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720A0"/>
    <w:rsid w:val="00A82563"/>
    <w:rsid w:val="00A8452B"/>
    <w:rsid w:val="00A859D1"/>
    <w:rsid w:val="00AA6DED"/>
    <w:rsid w:val="00AB1D19"/>
    <w:rsid w:val="00AB4A46"/>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 w:val="00FE770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2018-08-01T16:19:00Z</dcterms:created>
  <dcterms:modified xsi:type="dcterms:W3CDTF">2018-08-01T16:19:00Z</dcterms:modified>
</cp:coreProperties>
</file>