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26DA7" w14:textId="77777777" w:rsidR="004104CF" w:rsidRPr="004514A2" w:rsidRDefault="004104CF" w:rsidP="004104CF">
      <w:pPr>
        <w:spacing w:after="0" w:line="240" w:lineRule="auto"/>
        <w:rPr>
          <w:rFonts w:eastAsia="MS Gothic" w:cs="Arial"/>
          <w:spacing w:val="5"/>
          <w:kern w:val="28"/>
          <w:sz w:val="24"/>
        </w:rPr>
      </w:pPr>
      <w:r w:rsidRPr="004514A2">
        <w:rPr>
          <w:rStyle w:val="TitleChar"/>
          <w:rFonts w:ascii="Arial" w:hAnsi="Arial" w:cs="Arial"/>
          <w:sz w:val="24"/>
          <w:szCs w:val="24"/>
        </w:rPr>
        <w:t>Screening for antenatal depression and predictors of under-screening in Australia: The Born in Queensland Study</w:t>
      </w:r>
    </w:p>
    <w:p w14:paraId="59455EC2" w14:textId="77777777" w:rsidR="004104CF" w:rsidRPr="004514A2" w:rsidRDefault="004104CF" w:rsidP="004104CF">
      <w:pPr>
        <w:spacing w:after="0" w:line="240" w:lineRule="auto"/>
        <w:rPr>
          <w:rFonts w:ascii="Times New Roman" w:eastAsia="MS Gothic" w:hAnsi="Times New Roman"/>
          <w:spacing w:val="5"/>
          <w:kern w:val="28"/>
          <w:szCs w:val="20"/>
        </w:rPr>
      </w:pPr>
      <w:r w:rsidRPr="004514A2">
        <w:rPr>
          <w:rFonts w:ascii="Times New Roman" w:eastAsia="MS Gothic" w:hAnsi="Times New Roman"/>
          <w:spacing w:val="5"/>
          <w:kern w:val="28"/>
          <w:szCs w:val="20"/>
          <w:u w:val="single"/>
        </w:rPr>
        <w:t>Macarena San Martin Porter</w:t>
      </w:r>
      <w:r w:rsidRPr="004514A2">
        <w:rPr>
          <w:rFonts w:ascii="Times New Roman" w:eastAsia="MS Gothic" w:hAnsi="Times New Roman"/>
          <w:spacing w:val="5"/>
          <w:kern w:val="28"/>
          <w:szCs w:val="20"/>
          <w:vertAlign w:val="superscript"/>
        </w:rPr>
        <w:t>1</w:t>
      </w:r>
      <w:r w:rsidRPr="004514A2">
        <w:rPr>
          <w:rFonts w:ascii="Times New Roman" w:eastAsia="MS Gothic" w:hAnsi="Times New Roman"/>
          <w:spacing w:val="5"/>
          <w:kern w:val="28"/>
          <w:szCs w:val="20"/>
        </w:rPr>
        <w:t>, Kim Steven Betts</w:t>
      </w:r>
      <w:r w:rsidRPr="004514A2">
        <w:rPr>
          <w:rFonts w:ascii="Times New Roman" w:eastAsia="MS Gothic" w:hAnsi="Times New Roman"/>
          <w:spacing w:val="5"/>
          <w:kern w:val="28"/>
          <w:szCs w:val="20"/>
          <w:vertAlign w:val="superscript"/>
        </w:rPr>
        <w:t>2</w:t>
      </w:r>
      <w:r w:rsidRPr="004514A2">
        <w:rPr>
          <w:rFonts w:ascii="Times New Roman" w:eastAsia="MS Gothic" w:hAnsi="Times New Roman"/>
          <w:spacing w:val="5"/>
          <w:kern w:val="28"/>
          <w:szCs w:val="20"/>
        </w:rPr>
        <w:t>, Steve Kisely</w:t>
      </w:r>
      <w:r w:rsidRPr="004514A2">
        <w:rPr>
          <w:rFonts w:ascii="Times New Roman" w:eastAsia="MS Gothic" w:hAnsi="Times New Roman"/>
          <w:spacing w:val="5"/>
          <w:kern w:val="28"/>
          <w:szCs w:val="20"/>
          <w:vertAlign w:val="superscript"/>
        </w:rPr>
        <w:t>3</w:t>
      </w:r>
      <w:r w:rsidRPr="004514A2">
        <w:rPr>
          <w:rFonts w:ascii="Times New Roman" w:eastAsia="MS Gothic" w:hAnsi="Times New Roman"/>
          <w:spacing w:val="5"/>
          <w:kern w:val="28"/>
          <w:szCs w:val="20"/>
        </w:rPr>
        <w:t>,</w:t>
      </w:r>
      <w:r w:rsidR="009243E7" w:rsidRPr="004514A2">
        <w:rPr>
          <w:rFonts w:ascii="Times New Roman" w:eastAsia="MS Gothic" w:hAnsi="Times New Roman"/>
          <w:spacing w:val="5"/>
          <w:kern w:val="28"/>
          <w:szCs w:val="20"/>
        </w:rPr>
        <w:t xml:space="preserve"> Gino </w:t>
      </w:r>
      <w:r w:rsidR="004514A2" w:rsidRPr="004514A2">
        <w:rPr>
          <w:rFonts w:ascii="Times New Roman" w:eastAsia="MS Gothic" w:hAnsi="Times New Roman"/>
          <w:spacing w:val="5"/>
          <w:kern w:val="28"/>
          <w:szCs w:val="20"/>
        </w:rPr>
        <w:t>Pecoraro</w:t>
      </w:r>
      <w:r w:rsidR="004514A2" w:rsidRPr="004514A2">
        <w:rPr>
          <w:rFonts w:ascii="Times New Roman" w:eastAsia="MS Gothic" w:hAnsi="Times New Roman"/>
          <w:spacing w:val="5"/>
          <w:kern w:val="28"/>
          <w:szCs w:val="20"/>
          <w:vertAlign w:val="superscript"/>
        </w:rPr>
        <w:t>3</w:t>
      </w:r>
      <w:r w:rsidR="004514A2" w:rsidRPr="004514A2">
        <w:rPr>
          <w:rFonts w:ascii="Times New Roman" w:eastAsia="MS Gothic" w:hAnsi="Times New Roman"/>
          <w:spacing w:val="5"/>
          <w:kern w:val="28"/>
          <w:szCs w:val="20"/>
        </w:rPr>
        <w:t>,</w:t>
      </w:r>
      <w:r w:rsidRPr="004514A2">
        <w:rPr>
          <w:rFonts w:ascii="Times New Roman" w:eastAsia="MS Gothic" w:hAnsi="Times New Roman"/>
          <w:spacing w:val="5"/>
          <w:kern w:val="28"/>
          <w:szCs w:val="20"/>
        </w:rPr>
        <w:t xml:space="preserve"> Rosa Alati</w:t>
      </w:r>
      <w:r w:rsidRPr="004514A2">
        <w:rPr>
          <w:rFonts w:ascii="Times New Roman" w:eastAsia="MS Gothic" w:hAnsi="Times New Roman"/>
          <w:spacing w:val="5"/>
          <w:kern w:val="28"/>
          <w:szCs w:val="20"/>
          <w:vertAlign w:val="superscript"/>
        </w:rPr>
        <w:t>1</w:t>
      </w:r>
      <w:r w:rsidR="004514A2" w:rsidRPr="004514A2">
        <w:rPr>
          <w:rFonts w:ascii="Times New Roman" w:eastAsia="MS Gothic" w:hAnsi="Times New Roman"/>
          <w:spacing w:val="5"/>
          <w:kern w:val="28"/>
          <w:szCs w:val="20"/>
          <w:vertAlign w:val="superscript"/>
        </w:rPr>
        <w:t>, 2</w:t>
      </w:r>
    </w:p>
    <w:p w14:paraId="55511011" w14:textId="77777777" w:rsidR="004104CF" w:rsidRPr="00BB77A0" w:rsidRDefault="004104CF" w:rsidP="004104CF">
      <w:pPr>
        <w:spacing w:after="0" w:line="240" w:lineRule="auto"/>
        <w:rPr>
          <w:rFonts w:ascii="Times New Roman" w:eastAsiaTheme="minorEastAsia" w:hAnsi="Times New Roman"/>
          <w:sz w:val="24"/>
        </w:rPr>
      </w:pPr>
    </w:p>
    <w:p w14:paraId="21E242FB" w14:textId="77777777" w:rsidR="004104CF" w:rsidRPr="004514A2" w:rsidRDefault="004104CF" w:rsidP="004104CF">
      <w:pPr>
        <w:spacing w:line="240" w:lineRule="auto"/>
        <w:contextualSpacing/>
        <w:rPr>
          <w:rFonts w:eastAsia="MS Gothic" w:cs="Arial"/>
          <w:spacing w:val="5"/>
          <w:kern w:val="28"/>
          <w:szCs w:val="20"/>
        </w:rPr>
      </w:pPr>
      <w:r w:rsidRPr="004514A2">
        <w:rPr>
          <w:rFonts w:eastAsiaTheme="minorEastAsia" w:cs="Arial"/>
          <w:szCs w:val="20"/>
          <w:vertAlign w:val="superscript"/>
        </w:rPr>
        <w:t>1</w:t>
      </w:r>
      <w:r w:rsidRPr="004514A2">
        <w:rPr>
          <w:rFonts w:eastAsia="MS Gothic" w:cs="Arial"/>
          <w:spacing w:val="5"/>
          <w:kern w:val="28"/>
          <w:szCs w:val="20"/>
        </w:rPr>
        <w:t xml:space="preserve"> Institute for Social Science Research (ISSR), The University of Queensland,</w:t>
      </w:r>
      <w:r w:rsidR="004514A2" w:rsidRPr="004514A2">
        <w:rPr>
          <w:rFonts w:eastAsia="MS Gothic" w:cs="Arial"/>
          <w:spacing w:val="5"/>
          <w:kern w:val="28"/>
          <w:szCs w:val="20"/>
        </w:rPr>
        <w:t xml:space="preserve"> Brisbane,</w:t>
      </w:r>
      <w:r w:rsidRPr="004514A2">
        <w:rPr>
          <w:rFonts w:eastAsia="MS Gothic" w:cs="Arial"/>
          <w:spacing w:val="5"/>
          <w:kern w:val="28"/>
          <w:szCs w:val="20"/>
        </w:rPr>
        <w:t xml:space="preserve"> Australia</w:t>
      </w:r>
    </w:p>
    <w:p w14:paraId="003052C1" w14:textId="77777777" w:rsidR="004104CF" w:rsidRPr="004514A2" w:rsidRDefault="004104CF" w:rsidP="004104CF">
      <w:pPr>
        <w:spacing w:line="240" w:lineRule="auto"/>
        <w:contextualSpacing/>
        <w:rPr>
          <w:rFonts w:eastAsia="MS Gothic" w:cs="Arial"/>
          <w:spacing w:val="5"/>
          <w:kern w:val="28"/>
          <w:szCs w:val="20"/>
        </w:rPr>
      </w:pPr>
      <w:r w:rsidRPr="004514A2">
        <w:rPr>
          <w:rFonts w:eastAsia="MS Gothic" w:cs="Arial"/>
          <w:spacing w:val="5"/>
          <w:kern w:val="28"/>
          <w:szCs w:val="20"/>
          <w:vertAlign w:val="superscript"/>
        </w:rPr>
        <w:t>2</w:t>
      </w:r>
      <w:r w:rsidRPr="004514A2">
        <w:rPr>
          <w:rFonts w:eastAsia="MS Gothic" w:cs="Arial"/>
          <w:spacing w:val="5"/>
          <w:kern w:val="28"/>
          <w:szCs w:val="20"/>
        </w:rPr>
        <w:t xml:space="preserve">School of Public Health, Curtin University, </w:t>
      </w:r>
      <w:r w:rsidR="004514A2" w:rsidRPr="004514A2">
        <w:rPr>
          <w:rFonts w:eastAsia="MS Gothic" w:cs="Arial"/>
          <w:spacing w:val="5"/>
          <w:kern w:val="28"/>
          <w:szCs w:val="20"/>
        </w:rPr>
        <w:t>Perth,</w:t>
      </w:r>
      <w:r w:rsidRPr="004514A2">
        <w:rPr>
          <w:rFonts w:eastAsia="MS Gothic" w:cs="Arial"/>
          <w:spacing w:val="5"/>
          <w:kern w:val="28"/>
          <w:szCs w:val="20"/>
        </w:rPr>
        <w:t xml:space="preserve"> Australia</w:t>
      </w:r>
    </w:p>
    <w:p w14:paraId="58E37919" w14:textId="77777777" w:rsidR="004104CF" w:rsidRPr="004514A2" w:rsidRDefault="004104CF" w:rsidP="004104CF">
      <w:pPr>
        <w:spacing w:line="240" w:lineRule="auto"/>
        <w:contextualSpacing/>
        <w:rPr>
          <w:rFonts w:eastAsia="MS Gothic" w:cs="Arial"/>
          <w:spacing w:val="5"/>
          <w:kern w:val="28"/>
          <w:szCs w:val="20"/>
        </w:rPr>
      </w:pPr>
      <w:r w:rsidRPr="004514A2">
        <w:rPr>
          <w:rFonts w:eastAsia="MS Gothic" w:cs="Arial"/>
          <w:spacing w:val="5"/>
          <w:kern w:val="28"/>
          <w:szCs w:val="20"/>
          <w:vertAlign w:val="superscript"/>
        </w:rPr>
        <w:t>3</w:t>
      </w:r>
      <w:r w:rsidRPr="004514A2">
        <w:rPr>
          <w:rFonts w:eastAsia="MS Gothic" w:cs="Arial"/>
          <w:spacing w:val="5"/>
          <w:kern w:val="28"/>
          <w:szCs w:val="20"/>
        </w:rPr>
        <w:t xml:space="preserve">School of Medicine, The University of Queensland, </w:t>
      </w:r>
      <w:r w:rsidR="004514A2" w:rsidRPr="004514A2">
        <w:rPr>
          <w:rFonts w:eastAsia="MS Gothic" w:cs="Arial"/>
          <w:spacing w:val="5"/>
          <w:kern w:val="28"/>
          <w:szCs w:val="20"/>
        </w:rPr>
        <w:t>Brisbane, Australia</w:t>
      </w:r>
    </w:p>
    <w:p w14:paraId="29A99CC3" w14:textId="77777777" w:rsidR="004104CF" w:rsidRPr="004514A2" w:rsidRDefault="004104CF" w:rsidP="004104CF">
      <w:pPr>
        <w:spacing w:line="240" w:lineRule="auto"/>
        <w:contextualSpacing/>
        <w:rPr>
          <w:rFonts w:eastAsia="MS Gothic" w:cs="Arial"/>
          <w:spacing w:val="5"/>
          <w:kern w:val="28"/>
          <w:szCs w:val="20"/>
        </w:rPr>
      </w:pPr>
    </w:p>
    <w:p w14:paraId="6AEF9D2F" w14:textId="77777777" w:rsidR="004104CF" w:rsidRPr="004514A2" w:rsidRDefault="004104CF" w:rsidP="004104CF">
      <w:pPr>
        <w:spacing w:after="0" w:line="240" w:lineRule="auto"/>
        <w:rPr>
          <w:rFonts w:eastAsiaTheme="minorEastAsia" w:cs="Arial"/>
          <w:szCs w:val="20"/>
        </w:rPr>
      </w:pPr>
      <w:r w:rsidRPr="004514A2">
        <w:rPr>
          <w:rFonts w:eastAsiaTheme="majorEastAsia" w:cs="Arial"/>
          <w:b/>
          <w:szCs w:val="20"/>
          <w:lang w:val="en-US"/>
        </w:rPr>
        <w:t>Correspondence to</w:t>
      </w:r>
      <w:r w:rsidRPr="004514A2">
        <w:rPr>
          <w:rFonts w:eastAsiaTheme="minorEastAsia" w:cs="Arial"/>
          <w:szCs w:val="20"/>
        </w:rPr>
        <w:t>:</w:t>
      </w:r>
    </w:p>
    <w:p w14:paraId="056E04B2" w14:textId="77777777" w:rsidR="004104CF" w:rsidRPr="004514A2" w:rsidRDefault="004104CF" w:rsidP="004104CF">
      <w:pPr>
        <w:spacing w:line="240" w:lineRule="auto"/>
        <w:contextualSpacing/>
        <w:rPr>
          <w:rFonts w:eastAsia="MS Gothic" w:cs="Arial"/>
          <w:spacing w:val="5"/>
          <w:kern w:val="28"/>
          <w:szCs w:val="20"/>
        </w:rPr>
      </w:pPr>
      <w:r w:rsidRPr="004514A2">
        <w:rPr>
          <w:rFonts w:eastAsia="MS Gothic" w:cs="Arial"/>
          <w:spacing w:val="5"/>
          <w:kern w:val="28"/>
          <w:szCs w:val="20"/>
        </w:rPr>
        <w:t xml:space="preserve">Macarena San Martin Porter </w:t>
      </w:r>
    </w:p>
    <w:p w14:paraId="68B6D470" w14:textId="77777777" w:rsidR="004104CF" w:rsidRPr="004514A2" w:rsidRDefault="004104CF" w:rsidP="004104CF">
      <w:pPr>
        <w:spacing w:line="240" w:lineRule="auto"/>
        <w:contextualSpacing/>
        <w:rPr>
          <w:rFonts w:eastAsia="MS Gothic" w:cs="Arial"/>
          <w:spacing w:val="5"/>
          <w:kern w:val="28"/>
          <w:szCs w:val="20"/>
        </w:rPr>
      </w:pPr>
      <w:r w:rsidRPr="004514A2">
        <w:rPr>
          <w:rFonts w:eastAsia="MS Gothic" w:cs="Arial"/>
          <w:spacing w:val="5"/>
          <w:kern w:val="28"/>
          <w:szCs w:val="20"/>
        </w:rPr>
        <w:t>Email: m.sanmartinporter@uq.edu.au</w:t>
      </w:r>
    </w:p>
    <w:p w14:paraId="4900BA3C" w14:textId="77777777" w:rsidR="004104CF" w:rsidRDefault="004104CF" w:rsidP="004104CF">
      <w:pPr>
        <w:jc w:val="both"/>
        <w:rPr>
          <w:rFonts w:ascii="Times New Roman" w:hAnsi="Times New Roman"/>
          <w:sz w:val="32"/>
          <w:szCs w:val="32"/>
        </w:rPr>
      </w:pPr>
    </w:p>
    <w:p w14:paraId="3BF558B4" w14:textId="77777777" w:rsidR="004104CF" w:rsidRPr="00E65B1A" w:rsidRDefault="004104CF" w:rsidP="00E65B1A">
      <w:pPr>
        <w:spacing w:line="240" w:lineRule="auto"/>
        <w:jc w:val="both"/>
        <w:rPr>
          <w:rFonts w:cs="Arial"/>
          <w:b/>
          <w:szCs w:val="20"/>
        </w:rPr>
      </w:pPr>
      <w:r w:rsidRPr="00E65B1A">
        <w:rPr>
          <w:rFonts w:cs="Arial"/>
          <w:b/>
          <w:szCs w:val="20"/>
        </w:rPr>
        <w:t xml:space="preserve">Abstract </w:t>
      </w:r>
    </w:p>
    <w:p w14:paraId="4E58C11D" w14:textId="77777777" w:rsidR="00D26556" w:rsidRPr="00E65B1A" w:rsidRDefault="00D26556" w:rsidP="00E65B1A">
      <w:pPr>
        <w:spacing w:line="240" w:lineRule="auto"/>
        <w:jc w:val="both"/>
        <w:rPr>
          <w:rFonts w:cs="Arial"/>
          <w:szCs w:val="20"/>
        </w:rPr>
      </w:pPr>
      <w:r w:rsidRPr="00E65B1A">
        <w:rPr>
          <w:rFonts w:cs="Arial"/>
          <w:b/>
          <w:szCs w:val="20"/>
        </w:rPr>
        <w:t>Background</w:t>
      </w:r>
      <w:r w:rsidRPr="00E65B1A">
        <w:rPr>
          <w:rFonts w:cs="Arial"/>
          <w:szCs w:val="20"/>
        </w:rPr>
        <w:t xml:space="preserve">: Antenatal depression </w:t>
      </w:r>
      <w:r w:rsidR="000659AF" w:rsidRPr="00E65B1A">
        <w:rPr>
          <w:rFonts w:cs="Arial"/>
          <w:szCs w:val="20"/>
        </w:rPr>
        <w:t xml:space="preserve">is often under-recognized by health professionals in regular antenatal health checks. Universal screening </w:t>
      </w:r>
      <w:proofErr w:type="gramStart"/>
      <w:r w:rsidR="000659AF" w:rsidRPr="00E65B1A">
        <w:rPr>
          <w:rFonts w:cs="Arial"/>
          <w:szCs w:val="20"/>
        </w:rPr>
        <w:t>have</w:t>
      </w:r>
      <w:proofErr w:type="gramEnd"/>
      <w:r w:rsidR="000659AF" w:rsidRPr="00E65B1A">
        <w:rPr>
          <w:rFonts w:cs="Arial"/>
          <w:szCs w:val="20"/>
        </w:rPr>
        <w:t xml:space="preserve"> been recommended in Australia to increase detection of women suffering depression during pregnancy. </w:t>
      </w:r>
    </w:p>
    <w:p w14:paraId="3DF55991" w14:textId="77777777" w:rsidR="004104CF" w:rsidRPr="00E65B1A" w:rsidRDefault="004104CF" w:rsidP="00E65B1A">
      <w:pPr>
        <w:spacing w:line="240" w:lineRule="auto"/>
        <w:jc w:val="both"/>
        <w:rPr>
          <w:rFonts w:cs="Arial"/>
          <w:szCs w:val="20"/>
        </w:rPr>
      </w:pPr>
      <w:r w:rsidRPr="00E65B1A">
        <w:rPr>
          <w:rFonts w:cs="Arial"/>
          <w:b/>
          <w:szCs w:val="20"/>
        </w:rPr>
        <w:t>Objective(s):</w:t>
      </w:r>
      <w:r w:rsidRPr="00E65B1A">
        <w:rPr>
          <w:rFonts w:cs="Arial"/>
          <w:szCs w:val="20"/>
        </w:rPr>
        <w:t xml:space="preserve"> To </w:t>
      </w:r>
      <w:r w:rsidR="00D26556" w:rsidRPr="00E65B1A">
        <w:rPr>
          <w:rFonts w:cs="Arial"/>
          <w:szCs w:val="20"/>
        </w:rPr>
        <w:t xml:space="preserve">explore antenatal screening using the </w:t>
      </w:r>
      <w:r w:rsidR="00E65B1A" w:rsidRPr="00E65B1A">
        <w:rPr>
          <w:rFonts w:cs="Arial"/>
          <w:szCs w:val="20"/>
        </w:rPr>
        <w:t>Edinburgh Postnatal Depression Scale (</w:t>
      </w:r>
      <w:r w:rsidRPr="00E65B1A">
        <w:rPr>
          <w:rFonts w:cs="Arial"/>
          <w:szCs w:val="20"/>
        </w:rPr>
        <w:t>EPDS</w:t>
      </w:r>
      <w:r w:rsidR="00E65B1A" w:rsidRPr="00E65B1A">
        <w:rPr>
          <w:rFonts w:cs="Arial"/>
          <w:szCs w:val="20"/>
        </w:rPr>
        <w:t>)</w:t>
      </w:r>
      <w:r w:rsidRPr="00E65B1A">
        <w:rPr>
          <w:rFonts w:cs="Arial"/>
          <w:szCs w:val="20"/>
        </w:rPr>
        <w:t xml:space="preserve"> in QLD prenatal care services and </w:t>
      </w:r>
      <w:r w:rsidR="000659AF" w:rsidRPr="00E65B1A">
        <w:rPr>
          <w:rFonts w:cs="Arial"/>
          <w:szCs w:val="20"/>
        </w:rPr>
        <w:t>risk factors of not receiving screening</w:t>
      </w:r>
      <w:r w:rsidR="00925C59">
        <w:rPr>
          <w:rFonts w:cs="Arial"/>
          <w:szCs w:val="20"/>
        </w:rPr>
        <w:t>,</w:t>
      </w:r>
      <w:r w:rsidR="00925C59" w:rsidRPr="00925C59">
        <w:t xml:space="preserve"> </w:t>
      </w:r>
      <w:r w:rsidR="00925C59" w:rsidRPr="00925C59">
        <w:rPr>
          <w:rFonts w:cs="Arial"/>
          <w:szCs w:val="20"/>
        </w:rPr>
        <w:t>four years after clinical guidelines recommended universal screening.</w:t>
      </w:r>
      <w:r w:rsidR="000659AF" w:rsidRPr="00E65B1A">
        <w:rPr>
          <w:rFonts w:cs="Arial"/>
          <w:szCs w:val="20"/>
        </w:rPr>
        <w:t xml:space="preserve"> </w:t>
      </w:r>
      <w:r w:rsidRPr="00E65B1A">
        <w:rPr>
          <w:rFonts w:cs="Arial"/>
          <w:szCs w:val="20"/>
        </w:rPr>
        <w:t xml:space="preserve"> </w:t>
      </w:r>
    </w:p>
    <w:p w14:paraId="0879D5F6" w14:textId="77777777" w:rsidR="004104CF" w:rsidRPr="00E65B1A" w:rsidRDefault="004104CF" w:rsidP="00E65B1A">
      <w:pPr>
        <w:spacing w:line="240" w:lineRule="auto"/>
        <w:jc w:val="both"/>
        <w:rPr>
          <w:rFonts w:cs="Arial"/>
          <w:szCs w:val="20"/>
        </w:rPr>
      </w:pPr>
      <w:r w:rsidRPr="00E65B1A">
        <w:rPr>
          <w:rFonts w:cs="Arial"/>
          <w:b/>
          <w:szCs w:val="20"/>
        </w:rPr>
        <w:t>Design:</w:t>
      </w:r>
      <w:r w:rsidRPr="00E65B1A">
        <w:rPr>
          <w:rFonts w:cs="Arial"/>
          <w:szCs w:val="20"/>
        </w:rPr>
        <w:t xml:space="preserve"> Cross-sectional retrospective analysis of</w:t>
      </w:r>
      <w:r w:rsidR="000659AF" w:rsidRPr="00E65B1A">
        <w:rPr>
          <w:rFonts w:cs="Arial"/>
          <w:szCs w:val="20"/>
        </w:rPr>
        <w:t xml:space="preserve"> </w:t>
      </w:r>
      <w:r w:rsidRPr="00E65B1A">
        <w:rPr>
          <w:rFonts w:cs="Arial"/>
          <w:szCs w:val="20"/>
        </w:rPr>
        <w:t xml:space="preserve">health services </w:t>
      </w:r>
      <w:r w:rsidR="000659AF" w:rsidRPr="00E65B1A">
        <w:rPr>
          <w:rFonts w:cs="Arial"/>
          <w:szCs w:val="20"/>
        </w:rPr>
        <w:t xml:space="preserve">administrative data from July 2015 to </w:t>
      </w:r>
      <w:r w:rsidRPr="00E65B1A">
        <w:rPr>
          <w:rFonts w:cs="Arial"/>
          <w:szCs w:val="20"/>
        </w:rPr>
        <w:t xml:space="preserve">December 2015. </w:t>
      </w:r>
    </w:p>
    <w:p w14:paraId="45120061" w14:textId="77777777" w:rsidR="004104CF" w:rsidRPr="00E65B1A" w:rsidRDefault="004104CF" w:rsidP="00E65B1A">
      <w:pPr>
        <w:spacing w:line="240" w:lineRule="auto"/>
        <w:jc w:val="both"/>
        <w:rPr>
          <w:rFonts w:cs="Arial"/>
          <w:szCs w:val="20"/>
        </w:rPr>
      </w:pPr>
      <w:r w:rsidRPr="00E65B1A">
        <w:rPr>
          <w:rFonts w:cs="Arial"/>
          <w:b/>
          <w:szCs w:val="20"/>
        </w:rPr>
        <w:t>Setting:</w:t>
      </w:r>
      <w:r w:rsidRPr="00E65B1A">
        <w:rPr>
          <w:rFonts w:cs="Arial"/>
          <w:szCs w:val="20"/>
        </w:rPr>
        <w:t xml:space="preserve"> State-wide population-based data collection in Queensland. </w:t>
      </w:r>
    </w:p>
    <w:p w14:paraId="5EA5640D" w14:textId="77777777" w:rsidR="004104CF" w:rsidRPr="00E65B1A" w:rsidRDefault="004104CF" w:rsidP="00E65B1A">
      <w:pPr>
        <w:spacing w:line="240" w:lineRule="auto"/>
        <w:jc w:val="both"/>
        <w:rPr>
          <w:rFonts w:cs="Arial"/>
          <w:szCs w:val="20"/>
        </w:rPr>
      </w:pPr>
      <w:r w:rsidRPr="00E65B1A">
        <w:rPr>
          <w:rFonts w:cs="Arial"/>
          <w:b/>
          <w:szCs w:val="20"/>
        </w:rPr>
        <w:t>Participants:</w:t>
      </w:r>
      <w:r w:rsidRPr="00E65B1A">
        <w:rPr>
          <w:rFonts w:cs="Arial"/>
          <w:szCs w:val="20"/>
        </w:rPr>
        <w:t xml:space="preserve"> All pregnant women </w:t>
      </w:r>
      <w:r w:rsidR="00ED63C6">
        <w:rPr>
          <w:rFonts w:cs="Arial"/>
          <w:szCs w:val="20"/>
        </w:rPr>
        <w:t>who gave</w:t>
      </w:r>
      <w:r w:rsidRPr="00E65B1A">
        <w:rPr>
          <w:rFonts w:cs="Arial"/>
          <w:szCs w:val="20"/>
        </w:rPr>
        <w:t xml:space="preserve"> birth in Queensland in the second half of 2015 (n=30,468). </w:t>
      </w:r>
    </w:p>
    <w:p w14:paraId="09FC2643" w14:textId="77777777" w:rsidR="004104CF" w:rsidRPr="00E65B1A" w:rsidRDefault="004104CF" w:rsidP="00E65B1A">
      <w:pPr>
        <w:spacing w:line="240" w:lineRule="auto"/>
        <w:jc w:val="both"/>
        <w:rPr>
          <w:rFonts w:cs="Arial"/>
          <w:szCs w:val="20"/>
        </w:rPr>
      </w:pPr>
      <w:r w:rsidRPr="00E65B1A">
        <w:rPr>
          <w:rFonts w:cs="Arial"/>
          <w:b/>
          <w:szCs w:val="20"/>
        </w:rPr>
        <w:t>Main outcome measures:</w:t>
      </w:r>
      <w:r w:rsidRPr="00E65B1A">
        <w:rPr>
          <w:rFonts w:cs="Arial"/>
          <w:szCs w:val="20"/>
        </w:rPr>
        <w:t xml:space="preserve"> </w:t>
      </w:r>
      <w:r w:rsidR="00ED63C6">
        <w:rPr>
          <w:rFonts w:cs="Arial"/>
          <w:szCs w:val="20"/>
        </w:rPr>
        <w:t xml:space="preserve">EPDS screening completed during pregnancy (“yes”, “no” or “not stated”). </w:t>
      </w:r>
      <w:r w:rsidRPr="00E65B1A">
        <w:rPr>
          <w:rFonts w:cs="Arial"/>
          <w:szCs w:val="20"/>
        </w:rPr>
        <w:t xml:space="preserve"> </w:t>
      </w:r>
    </w:p>
    <w:p w14:paraId="29547C28" w14:textId="77777777" w:rsidR="004104CF" w:rsidRPr="00E65B1A" w:rsidRDefault="004104CF" w:rsidP="00E65B1A">
      <w:pPr>
        <w:spacing w:line="240" w:lineRule="auto"/>
        <w:jc w:val="both"/>
        <w:rPr>
          <w:rFonts w:cs="Arial"/>
          <w:szCs w:val="20"/>
        </w:rPr>
      </w:pPr>
      <w:r w:rsidRPr="00E65B1A">
        <w:rPr>
          <w:rFonts w:cs="Arial"/>
          <w:b/>
          <w:szCs w:val="20"/>
        </w:rPr>
        <w:t>Results:</w:t>
      </w:r>
      <w:r w:rsidRPr="00E65B1A">
        <w:rPr>
          <w:rFonts w:cs="Arial"/>
          <w:szCs w:val="20"/>
        </w:rPr>
        <w:t xml:space="preserve"> </w:t>
      </w:r>
      <w:r w:rsidR="00ED63C6">
        <w:rPr>
          <w:rFonts w:cs="Arial"/>
          <w:szCs w:val="20"/>
        </w:rPr>
        <w:t xml:space="preserve">Of the 30,468 women of our sample, </w:t>
      </w:r>
      <w:r w:rsidRPr="00E65B1A">
        <w:rPr>
          <w:rFonts w:cs="Arial"/>
          <w:szCs w:val="20"/>
        </w:rPr>
        <w:t xml:space="preserve">21,735 (71.3%) women completed the EPDS during their pregnancy. 91% (18,942) of the pregnant women enrolled as public patients completed the EPDS compared to only 28.8% (2,762) of women enrolled as private patients (p=&lt;0.001). After adjustments significant predictors of under-screening included women aged 36 or older (OR, 0.69; 95 CI, 0.60–0.79; p=&lt;0.001), enrolled as private patients (OR, 0.05; 95% CI, 0.05–0.06; p&lt;0.001), born overseas (OR, 0.75; 95% CI, 0.68–0.82; p&lt;0.001), </w:t>
      </w:r>
      <w:r w:rsidR="00B60282">
        <w:rPr>
          <w:rFonts w:cs="Arial"/>
          <w:szCs w:val="20"/>
        </w:rPr>
        <w:t xml:space="preserve">identified as Indigenous </w:t>
      </w:r>
      <w:r w:rsidRPr="00E65B1A">
        <w:rPr>
          <w:rFonts w:cs="Arial"/>
          <w:szCs w:val="20"/>
        </w:rPr>
        <w:t xml:space="preserve">(OR, 0.47; 95% CI, 0.39–0.56; p&lt;0.001), and </w:t>
      </w:r>
      <w:r w:rsidR="00B60282">
        <w:rPr>
          <w:rFonts w:cs="Arial"/>
          <w:szCs w:val="20"/>
        </w:rPr>
        <w:t xml:space="preserve">identified as </w:t>
      </w:r>
      <w:r w:rsidRPr="00E65B1A">
        <w:rPr>
          <w:rFonts w:cs="Arial"/>
          <w:szCs w:val="20"/>
        </w:rPr>
        <w:t xml:space="preserve">single or separated (OR, 0.83; 95% CI, 0.73–0.94; p= 0.002). </w:t>
      </w:r>
    </w:p>
    <w:p w14:paraId="292BDDA1" w14:textId="340012A5" w:rsidR="004104CF" w:rsidRDefault="004104CF" w:rsidP="00E65B1A">
      <w:pPr>
        <w:spacing w:line="240" w:lineRule="auto"/>
        <w:jc w:val="both"/>
        <w:rPr>
          <w:rFonts w:cs="Arial"/>
          <w:szCs w:val="20"/>
        </w:rPr>
      </w:pPr>
      <w:r w:rsidRPr="00E65B1A">
        <w:rPr>
          <w:rFonts w:cs="Arial"/>
          <w:b/>
          <w:szCs w:val="20"/>
        </w:rPr>
        <w:t>Conclusion(s):</w:t>
      </w:r>
      <w:r w:rsidRPr="00E65B1A">
        <w:rPr>
          <w:rFonts w:cs="Arial"/>
          <w:szCs w:val="20"/>
        </w:rPr>
        <w:t xml:space="preserve"> There is a notable disparity between screening rates of private and public patients four years after clinical guidelines recommended universal screening with the EPDS. This study may inform future research to compare and analyse the impact on screening uptake following recent changes to the program by the Australian government.</w:t>
      </w:r>
    </w:p>
    <w:p w14:paraId="7309EBE2" w14:textId="77BE3B2E" w:rsidR="005E095F" w:rsidRDefault="005E095F" w:rsidP="00E65B1A">
      <w:pPr>
        <w:spacing w:line="240" w:lineRule="auto"/>
        <w:jc w:val="both"/>
      </w:pPr>
      <w:r>
        <w:rPr>
          <w:rFonts w:cs="Arial"/>
          <w:szCs w:val="20"/>
        </w:rPr>
        <w:t xml:space="preserve">A link to the publication can be found here </w:t>
      </w:r>
      <w:hyperlink r:id="rId4" w:history="1">
        <w:r>
          <w:rPr>
            <w:rStyle w:val="Hyperlink"/>
          </w:rPr>
          <w:t>https://www.mja.com.au/journal/2019/210/1/screening-perinatal-depression-and-predictors-underscreening-findings-born</w:t>
        </w:r>
      </w:hyperlink>
    </w:p>
    <w:p w14:paraId="57F14227" w14:textId="77777777" w:rsidR="005E095F" w:rsidRPr="00E65B1A" w:rsidRDefault="005E095F" w:rsidP="00E65B1A">
      <w:pPr>
        <w:spacing w:line="240" w:lineRule="auto"/>
        <w:jc w:val="both"/>
        <w:rPr>
          <w:rFonts w:cs="Arial"/>
          <w:szCs w:val="20"/>
        </w:rPr>
      </w:pPr>
      <w:bookmarkStart w:id="0" w:name="_GoBack"/>
      <w:bookmarkEnd w:id="0"/>
    </w:p>
    <w:p w14:paraId="12E22DD3" w14:textId="77777777" w:rsidR="008E7923" w:rsidRPr="00D87EDC" w:rsidRDefault="00374B0D" w:rsidP="00D87EDC"/>
    <w:sectPr w:rsidR="008E7923" w:rsidRPr="00D87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CF"/>
    <w:rsid w:val="000659AF"/>
    <w:rsid w:val="00374B0D"/>
    <w:rsid w:val="004104CF"/>
    <w:rsid w:val="004514A2"/>
    <w:rsid w:val="005E095F"/>
    <w:rsid w:val="007B4F6F"/>
    <w:rsid w:val="007C6549"/>
    <w:rsid w:val="009243E7"/>
    <w:rsid w:val="00925C59"/>
    <w:rsid w:val="00AA04B0"/>
    <w:rsid w:val="00B60282"/>
    <w:rsid w:val="00C10D6D"/>
    <w:rsid w:val="00D25D08"/>
    <w:rsid w:val="00D26556"/>
    <w:rsid w:val="00D87EDC"/>
    <w:rsid w:val="00E65B1A"/>
    <w:rsid w:val="00ED63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B734"/>
  <w15:chartTrackingRefBased/>
  <w15:docId w15:val="{A815C662-8B21-4168-847B-61AEECF9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04CF"/>
    <w:pPr>
      <w:spacing w:after="240" w:line="280" w:lineRule="exact"/>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04CF"/>
    <w:pPr>
      <w:spacing w:after="0" w:line="240" w:lineRule="auto"/>
    </w:pPr>
    <w:rPr>
      <w:rFonts w:ascii="Times New Roman" w:eastAsiaTheme="minorHAnsi" w:hAnsi="Times New Roman"/>
      <w:b/>
      <w:sz w:val="36"/>
      <w:szCs w:val="36"/>
    </w:rPr>
  </w:style>
  <w:style w:type="character" w:customStyle="1" w:styleId="TitleChar">
    <w:name w:val="Title Char"/>
    <w:basedOn w:val="DefaultParagraphFont"/>
    <w:link w:val="Title"/>
    <w:uiPriority w:val="10"/>
    <w:rsid w:val="004104CF"/>
    <w:rPr>
      <w:rFonts w:ascii="Times New Roman" w:hAnsi="Times New Roman" w:cs="Times New Roman"/>
      <w:b/>
      <w:sz w:val="36"/>
      <w:szCs w:val="36"/>
    </w:rPr>
  </w:style>
  <w:style w:type="character" w:styleId="Hyperlink">
    <w:name w:val="Hyperlink"/>
    <w:basedOn w:val="DefaultParagraphFont"/>
    <w:uiPriority w:val="99"/>
    <w:semiHidden/>
    <w:unhideWhenUsed/>
    <w:rsid w:val="005E09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ja.com.au/journal/2019/210/1/screening-perinatal-depression-and-predictors-underscreening-findings-bo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San Martin Porter</dc:creator>
  <cp:keywords/>
  <dc:description/>
  <cp:lastModifiedBy>Nerida Worboys</cp:lastModifiedBy>
  <cp:revision>2</cp:revision>
  <dcterms:created xsi:type="dcterms:W3CDTF">2019-10-25T02:35:00Z</dcterms:created>
  <dcterms:modified xsi:type="dcterms:W3CDTF">2019-10-25T02:35:00Z</dcterms:modified>
</cp:coreProperties>
</file>