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2A5BE" w14:textId="2A78BF2C" w:rsidR="00A4472C" w:rsidRPr="00BB1B30" w:rsidRDefault="00BB1B30" w:rsidP="00BB1B30">
      <w:pPr>
        <w:spacing w:after="0"/>
        <w:rPr>
          <w:rFonts w:ascii="Arial" w:eastAsia="Times New Roman" w:hAnsi="Arial" w:cs="Arial"/>
          <w:b/>
          <w:bCs/>
          <w:sz w:val="24"/>
          <w:szCs w:val="24"/>
        </w:rPr>
      </w:pPr>
      <w:r>
        <w:rPr>
          <w:rFonts w:ascii="Arial" w:hAnsi="Arial" w:cs="Arial"/>
          <w:b/>
          <w:bCs/>
          <w:sz w:val="24"/>
          <w:szCs w:val="24"/>
        </w:rPr>
        <w:t xml:space="preserve">#43 - </w:t>
      </w:r>
      <w:r w:rsidR="00F702D7" w:rsidRPr="00BB1B30">
        <w:rPr>
          <w:rFonts w:ascii="Arial" w:hAnsi="Arial" w:cs="Arial"/>
          <w:b/>
          <w:bCs/>
          <w:sz w:val="24"/>
          <w:szCs w:val="24"/>
        </w:rPr>
        <w:t>Tensions and Paradoxes of Scaling Up: A Critical Reflection on Physical Activity Promotion</w:t>
      </w:r>
    </w:p>
    <w:p w14:paraId="28F602DA" w14:textId="26C6831A" w:rsidR="00CB3EE5" w:rsidRPr="00BB1B30" w:rsidRDefault="00CB3EE5" w:rsidP="00BB1B30">
      <w:pPr>
        <w:spacing w:after="0"/>
        <w:rPr>
          <w:rFonts w:ascii="Arial" w:hAnsi="Arial" w:cs="Arial"/>
          <w:b/>
          <w:sz w:val="24"/>
          <w:szCs w:val="24"/>
          <w:lang w:val="en-AU"/>
        </w:rPr>
      </w:pPr>
    </w:p>
    <w:p w14:paraId="50EC53FD" w14:textId="1EEF491B" w:rsidR="00EB42BD" w:rsidRPr="00BB1B30" w:rsidRDefault="000F00DD" w:rsidP="00BB1B30">
      <w:pPr>
        <w:spacing w:after="0"/>
        <w:rPr>
          <w:rFonts w:ascii="Arial" w:eastAsia="Times New Roman" w:hAnsi="Arial" w:cs="Arial"/>
          <w:sz w:val="24"/>
          <w:szCs w:val="24"/>
        </w:rPr>
      </w:pPr>
      <w:r w:rsidRPr="00BB1B30">
        <w:rPr>
          <w:rFonts w:ascii="Arial" w:eastAsia="Times New Roman" w:hAnsi="Arial" w:cs="Arial"/>
          <w:b/>
          <w:sz w:val="24"/>
          <w:szCs w:val="24"/>
        </w:rPr>
        <w:t>Presenting Author(s)*</w:t>
      </w:r>
    </w:p>
    <w:p w14:paraId="09ABAD67" w14:textId="64475B8F" w:rsidR="00EB42BD" w:rsidRPr="00BB1B30" w:rsidRDefault="00F702D7" w:rsidP="00BB1B30">
      <w:pPr>
        <w:spacing w:after="0"/>
        <w:rPr>
          <w:rFonts w:ascii="Arial" w:hAnsi="Arial" w:cs="Arial"/>
          <w:bCs/>
          <w:sz w:val="24"/>
          <w:szCs w:val="24"/>
          <w:lang w:val="en-AU"/>
        </w:rPr>
      </w:pPr>
      <w:r w:rsidRPr="00BB1B30">
        <w:rPr>
          <w:rFonts w:ascii="Arial" w:hAnsi="Arial" w:cs="Arial"/>
          <w:bCs/>
          <w:sz w:val="24"/>
          <w:szCs w:val="24"/>
          <w:lang w:val="en-AU"/>
        </w:rPr>
        <w:t>Dr Harriet Koorts1</w:t>
      </w:r>
    </w:p>
    <w:p w14:paraId="29DB496A" w14:textId="25CE11BA" w:rsidR="000F00DD" w:rsidRPr="00BB1B30" w:rsidRDefault="000F00DD" w:rsidP="00BB1B30">
      <w:pPr>
        <w:spacing w:after="0"/>
        <w:rPr>
          <w:rFonts w:ascii="Arial" w:hAnsi="Arial" w:cs="Arial"/>
          <w:b/>
          <w:sz w:val="24"/>
          <w:szCs w:val="24"/>
          <w:lang w:val="en-AU"/>
        </w:rPr>
      </w:pPr>
    </w:p>
    <w:p w14:paraId="28EFE90C" w14:textId="4BD47085" w:rsidR="0083790A" w:rsidRPr="00BB1B30" w:rsidRDefault="00EB42BD" w:rsidP="00BB1B30">
      <w:pPr>
        <w:spacing w:after="0"/>
        <w:rPr>
          <w:rFonts w:ascii="Arial" w:hAnsi="Arial" w:cs="Arial"/>
          <w:sz w:val="24"/>
          <w:szCs w:val="24"/>
        </w:rPr>
      </w:pPr>
      <w:r w:rsidRPr="00BB1B30">
        <w:rPr>
          <w:rFonts w:ascii="Arial" w:hAnsi="Arial" w:cs="Arial"/>
          <w:b/>
          <w:sz w:val="24"/>
          <w:szCs w:val="24"/>
          <w:lang w:val="en-AU"/>
        </w:rPr>
        <w:t>Affiliation</w:t>
      </w:r>
      <w:r w:rsidR="000B3948" w:rsidRPr="00BB1B30">
        <w:rPr>
          <w:rFonts w:ascii="Arial" w:hAnsi="Arial" w:cs="Arial"/>
          <w:b/>
          <w:sz w:val="24"/>
          <w:szCs w:val="24"/>
          <w:lang w:val="en-AU"/>
        </w:rPr>
        <w:t xml:space="preserve"> </w:t>
      </w:r>
    </w:p>
    <w:p w14:paraId="28DA7DF3" w14:textId="77777777" w:rsidR="00F702D7" w:rsidRPr="00BB1B30" w:rsidRDefault="00F702D7" w:rsidP="00BB1B30">
      <w:pPr>
        <w:pStyle w:val="ListParagraph"/>
        <w:numPr>
          <w:ilvl w:val="0"/>
          <w:numId w:val="14"/>
        </w:numPr>
        <w:autoSpaceDE w:val="0"/>
        <w:autoSpaceDN w:val="0"/>
        <w:adjustRightInd w:val="0"/>
        <w:spacing w:after="0"/>
        <w:rPr>
          <w:rFonts w:ascii="Arial" w:hAnsi="Arial" w:cs="Arial"/>
          <w:sz w:val="24"/>
          <w:szCs w:val="24"/>
          <w:lang w:val="en-AU" w:bidi="ar-SA"/>
        </w:rPr>
      </w:pPr>
      <w:r w:rsidRPr="00BB1B30">
        <w:rPr>
          <w:rFonts w:ascii="Arial" w:hAnsi="Arial" w:cs="Arial"/>
          <w:sz w:val="24"/>
          <w:szCs w:val="24"/>
          <w:lang w:val="en-AU" w:bidi="ar-SA"/>
        </w:rPr>
        <w:t>Institute for Physical Activity and Nutrition (IPAN), School of Exercise and Nutrition Sciences,</w:t>
      </w:r>
    </w:p>
    <w:p w14:paraId="42F0AB8F" w14:textId="77777777" w:rsidR="00F702D7" w:rsidRPr="00BB1B30" w:rsidRDefault="00F702D7" w:rsidP="00BB1B30">
      <w:pPr>
        <w:pStyle w:val="ListParagraph"/>
        <w:numPr>
          <w:ilvl w:val="0"/>
          <w:numId w:val="14"/>
        </w:numPr>
        <w:spacing w:after="0"/>
        <w:rPr>
          <w:rFonts w:ascii="Arial" w:eastAsia="Times New Roman" w:hAnsi="Arial" w:cs="Arial"/>
          <w:sz w:val="24"/>
          <w:szCs w:val="24"/>
        </w:rPr>
      </w:pPr>
      <w:r w:rsidRPr="00BB1B30">
        <w:rPr>
          <w:rFonts w:ascii="Arial" w:hAnsi="Arial" w:cs="Arial"/>
          <w:sz w:val="24"/>
          <w:szCs w:val="24"/>
          <w:lang w:val="en-AU" w:bidi="ar-SA"/>
        </w:rPr>
        <w:t>Deakin University, Geelong, VIC 3220, Australia</w:t>
      </w:r>
      <w:r w:rsidRPr="00BB1B30">
        <w:rPr>
          <w:rFonts w:ascii="Arial" w:eastAsia="Times New Roman" w:hAnsi="Arial" w:cs="Arial"/>
          <w:sz w:val="24"/>
          <w:szCs w:val="24"/>
        </w:rPr>
        <w:t xml:space="preserve"> </w:t>
      </w:r>
    </w:p>
    <w:p w14:paraId="5EDCCADF" w14:textId="77777777" w:rsidR="00F702D7" w:rsidRPr="00BB1B30" w:rsidRDefault="00F702D7" w:rsidP="00BB1B30">
      <w:pPr>
        <w:spacing w:after="0"/>
        <w:rPr>
          <w:rFonts w:ascii="Arial" w:eastAsia="Times New Roman" w:hAnsi="Arial" w:cs="Arial"/>
          <w:b/>
          <w:sz w:val="24"/>
          <w:szCs w:val="24"/>
        </w:rPr>
      </w:pPr>
    </w:p>
    <w:p w14:paraId="44EC24DD" w14:textId="25F2636B" w:rsidR="00796ABC" w:rsidRPr="00BB1B30" w:rsidRDefault="00796ABC" w:rsidP="00BB1B30">
      <w:pPr>
        <w:spacing w:after="0"/>
        <w:rPr>
          <w:rFonts w:ascii="Arial" w:eastAsia="Times New Roman" w:hAnsi="Arial" w:cs="Arial"/>
          <w:sz w:val="24"/>
          <w:szCs w:val="24"/>
        </w:rPr>
      </w:pPr>
      <w:r w:rsidRPr="00BB1B30">
        <w:rPr>
          <w:rFonts w:ascii="Arial" w:eastAsia="Times New Roman" w:hAnsi="Arial" w:cs="Arial"/>
          <w:b/>
          <w:sz w:val="24"/>
          <w:szCs w:val="24"/>
        </w:rPr>
        <w:t>Country of residence</w:t>
      </w:r>
    </w:p>
    <w:p w14:paraId="324F1591" w14:textId="42737147" w:rsidR="00796ABC" w:rsidRPr="00BB1B30" w:rsidRDefault="00F702D7" w:rsidP="00BB1B30">
      <w:pPr>
        <w:spacing w:after="0"/>
        <w:rPr>
          <w:rFonts w:ascii="Arial" w:eastAsia="Times New Roman" w:hAnsi="Arial" w:cs="Arial"/>
          <w:sz w:val="24"/>
          <w:szCs w:val="24"/>
        </w:rPr>
      </w:pPr>
      <w:r w:rsidRPr="00BB1B30">
        <w:rPr>
          <w:rFonts w:ascii="Arial" w:eastAsia="Times New Roman" w:hAnsi="Arial" w:cs="Arial"/>
          <w:sz w:val="24"/>
          <w:szCs w:val="24"/>
        </w:rPr>
        <w:t>Australia</w:t>
      </w:r>
    </w:p>
    <w:p w14:paraId="6342468C" w14:textId="77777777" w:rsidR="00796ABC" w:rsidRPr="00BB1B30" w:rsidRDefault="00796ABC" w:rsidP="00BB1B30">
      <w:pPr>
        <w:spacing w:after="0"/>
        <w:rPr>
          <w:rFonts w:ascii="Arial" w:hAnsi="Arial" w:cs="Arial"/>
          <w:b/>
          <w:sz w:val="24"/>
          <w:szCs w:val="24"/>
          <w:lang w:val="en-AU"/>
        </w:rPr>
      </w:pPr>
    </w:p>
    <w:p w14:paraId="483A37B9" w14:textId="67DE04AB" w:rsidR="003D1F3B" w:rsidRPr="00BB1B30" w:rsidRDefault="003B4148" w:rsidP="00BB1B30">
      <w:pPr>
        <w:spacing w:after="0"/>
        <w:rPr>
          <w:rFonts w:ascii="Arial" w:hAnsi="Arial" w:cs="Arial"/>
          <w:sz w:val="24"/>
          <w:szCs w:val="24"/>
          <w:lang w:val="en-AU"/>
        </w:rPr>
      </w:pPr>
      <w:r w:rsidRPr="00BB1B30">
        <w:rPr>
          <w:rFonts w:ascii="Arial" w:hAnsi="Arial" w:cs="Arial"/>
          <w:b/>
          <w:sz w:val="24"/>
          <w:szCs w:val="24"/>
          <w:lang w:val="en-AU"/>
        </w:rPr>
        <w:t>O</w:t>
      </w:r>
      <w:r w:rsidR="0083790A" w:rsidRPr="00BB1B30">
        <w:rPr>
          <w:rFonts w:ascii="Arial" w:hAnsi="Arial" w:cs="Arial"/>
          <w:b/>
          <w:sz w:val="24"/>
          <w:szCs w:val="24"/>
          <w:lang w:val="en-AU"/>
        </w:rPr>
        <w:t>bjectives/</w:t>
      </w:r>
      <w:proofErr w:type="gramStart"/>
      <w:r w:rsidR="0083790A" w:rsidRPr="00BB1B30">
        <w:rPr>
          <w:rFonts w:ascii="Arial" w:hAnsi="Arial" w:cs="Arial"/>
          <w:b/>
          <w:sz w:val="24"/>
          <w:szCs w:val="24"/>
          <w:lang w:val="en-AU"/>
        </w:rPr>
        <w:t>aims</w:t>
      </w:r>
      <w:proofErr w:type="gramEnd"/>
      <w:r w:rsidR="00881693" w:rsidRPr="00BB1B30">
        <w:rPr>
          <w:rFonts w:ascii="Arial" w:hAnsi="Arial" w:cs="Arial"/>
          <w:b/>
          <w:sz w:val="24"/>
          <w:szCs w:val="24"/>
          <w:lang w:val="en-AU"/>
        </w:rPr>
        <w:t xml:space="preserve"> </w:t>
      </w:r>
    </w:p>
    <w:p w14:paraId="2DC67099" w14:textId="0A627DF6" w:rsidR="007231EB" w:rsidRPr="00BB1B30" w:rsidRDefault="00F702D7" w:rsidP="00BB1B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sz w:val="24"/>
          <w:szCs w:val="24"/>
        </w:rPr>
      </w:pPr>
      <w:r w:rsidRPr="00BB1B30">
        <w:rPr>
          <w:rFonts w:ascii="Arial" w:hAnsi="Arial" w:cs="Arial"/>
          <w:sz w:val="24"/>
          <w:szCs w:val="24"/>
        </w:rPr>
        <w:t xml:space="preserve">Scaling up evidence-based interventions has been ubiquitously difficult in public health. Accelerating implementation of scalable solutions to physical inactivity is needed, although this requires reliable, dedicated resources, and establishment of strategic connections between stakeholders and policy priorities. Currently, we do not know why some interventions are successfully scaled over others, and how we can facilitate the process. This presentation discusses </w:t>
      </w:r>
      <w:proofErr w:type="gramStart"/>
      <w:r w:rsidRPr="00BB1B30">
        <w:rPr>
          <w:rFonts w:ascii="Arial" w:hAnsi="Arial" w:cs="Arial"/>
          <w:sz w:val="24"/>
          <w:szCs w:val="24"/>
        </w:rPr>
        <w:t>a number of</w:t>
      </w:r>
      <w:proofErr w:type="gramEnd"/>
      <w:r w:rsidRPr="00BB1B30">
        <w:rPr>
          <w:rFonts w:ascii="Arial" w:hAnsi="Arial" w:cs="Arial"/>
          <w:sz w:val="24"/>
          <w:szCs w:val="24"/>
        </w:rPr>
        <w:t xml:space="preserve"> </w:t>
      </w:r>
      <w:r w:rsidRPr="00BB1B30">
        <w:rPr>
          <w:rFonts w:ascii="Arial" w:hAnsi="Arial" w:cs="Arial"/>
          <w:i/>
          <w:iCs/>
          <w:sz w:val="24"/>
          <w:szCs w:val="24"/>
        </w:rPr>
        <w:t>tensions</w:t>
      </w:r>
      <w:r w:rsidRPr="00BB1B30">
        <w:rPr>
          <w:rFonts w:ascii="Arial" w:hAnsi="Arial" w:cs="Arial"/>
          <w:sz w:val="24"/>
          <w:szCs w:val="24"/>
        </w:rPr>
        <w:t xml:space="preserve"> (challenges and conflicts) and </w:t>
      </w:r>
      <w:r w:rsidRPr="00BB1B30">
        <w:rPr>
          <w:rFonts w:ascii="Arial" w:hAnsi="Arial" w:cs="Arial"/>
          <w:i/>
          <w:iCs/>
          <w:sz w:val="24"/>
          <w:szCs w:val="24"/>
        </w:rPr>
        <w:t>paradoxes</w:t>
      </w:r>
      <w:r w:rsidRPr="00BB1B30">
        <w:rPr>
          <w:rFonts w:ascii="Arial" w:hAnsi="Arial" w:cs="Arial"/>
          <w:sz w:val="24"/>
          <w:szCs w:val="24"/>
        </w:rPr>
        <w:t xml:space="preserve"> (things that are contrary to expectations) academics, practitioners and policymakers (‘stakeholders’) face when scaling up physical activity interventions.</w:t>
      </w:r>
    </w:p>
    <w:p w14:paraId="1F204AAB" w14:textId="34DD37FF" w:rsidR="00F702D7" w:rsidRPr="00BB1B30" w:rsidRDefault="00F702D7" w:rsidP="00BB1B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sz w:val="24"/>
          <w:szCs w:val="24"/>
          <w:lang w:val="en-AU"/>
        </w:rPr>
      </w:pPr>
      <w:r w:rsidRPr="00BB1B30">
        <w:rPr>
          <w:rFonts w:ascii="Arial" w:hAnsi="Arial" w:cs="Arial"/>
          <w:sz w:val="24"/>
          <w:szCs w:val="24"/>
        </w:rPr>
        <w:t>This presentation showcases new knowledge that extends what has already been learnt through studies of scaling up. We explore challenging concepts such as whether we can improve scaling up and how the systems we work in (i.e., academic or government) contribute to the circumstances we face in population health. We adopted a unique approach to understanding scaling up, by synthesizing multiple viewpoints and framing these through a reflexive and critical lens of ‘tensions’ and ‘</w:t>
      </w:r>
      <w:proofErr w:type="gramStart"/>
      <w:r w:rsidRPr="00BB1B30">
        <w:rPr>
          <w:rFonts w:ascii="Arial" w:hAnsi="Arial" w:cs="Arial"/>
          <w:sz w:val="24"/>
          <w:szCs w:val="24"/>
        </w:rPr>
        <w:t>paradoxes’</w:t>
      </w:r>
      <w:proofErr w:type="gramEnd"/>
      <w:r w:rsidRPr="00BB1B30">
        <w:rPr>
          <w:rFonts w:ascii="Arial" w:hAnsi="Arial" w:cs="Arial"/>
          <w:sz w:val="24"/>
          <w:szCs w:val="24"/>
        </w:rPr>
        <w:t>.</w:t>
      </w:r>
    </w:p>
    <w:p w14:paraId="30DA6058" w14:textId="77777777" w:rsidR="007231EB" w:rsidRPr="00BB1B30" w:rsidRDefault="007231EB" w:rsidP="00BB1B30">
      <w:pPr>
        <w:spacing w:after="0"/>
        <w:rPr>
          <w:rFonts w:ascii="Arial" w:hAnsi="Arial" w:cs="Arial"/>
          <w:sz w:val="24"/>
          <w:szCs w:val="24"/>
          <w:lang w:val="en-AU"/>
        </w:rPr>
      </w:pPr>
    </w:p>
    <w:p w14:paraId="7DF17241" w14:textId="3F4530AB" w:rsidR="007231EB" w:rsidRPr="00BB1B30" w:rsidRDefault="0083790A" w:rsidP="00BB1B30">
      <w:pPr>
        <w:spacing w:after="0"/>
        <w:rPr>
          <w:rFonts w:ascii="Arial" w:hAnsi="Arial" w:cs="Arial"/>
          <w:b/>
          <w:sz w:val="24"/>
          <w:szCs w:val="24"/>
          <w:lang w:val="en-AU"/>
        </w:rPr>
      </w:pPr>
      <w:r w:rsidRPr="00BB1B30">
        <w:rPr>
          <w:rFonts w:ascii="Arial" w:hAnsi="Arial" w:cs="Arial"/>
          <w:b/>
          <w:sz w:val="24"/>
          <w:szCs w:val="24"/>
          <w:lang w:val="en-AU"/>
        </w:rPr>
        <w:t>M</w:t>
      </w:r>
      <w:r w:rsidR="007231EB" w:rsidRPr="00BB1B30">
        <w:rPr>
          <w:rFonts w:ascii="Arial" w:hAnsi="Arial" w:cs="Arial"/>
          <w:b/>
          <w:sz w:val="24"/>
          <w:szCs w:val="24"/>
          <w:lang w:val="en-AU"/>
        </w:rPr>
        <w:t>ethods</w:t>
      </w:r>
      <w:r w:rsidR="00A71CA8" w:rsidRPr="00BB1B30">
        <w:rPr>
          <w:rFonts w:ascii="Arial" w:hAnsi="Arial" w:cs="Arial"/>
          <w:b/>
          <w:sz w:val="24"/>
          <w:szCs w:val="24"/>
          <w:lang w:val="en-AU"/>
        </w:rPr>
        <w:t xml:space="preserve"> </w:t>
      </w:r>
    </w:p>
    <w:p w14:paraId="2FC019B3" w14:textId="77777777" w:rsidR="00BB1B30" w:rsidRDefault="00F702D7" w:rsidP="00BB1B30">
      <w:pPr>
        <w:spacing w:after="0"/>
        <w:rPr>
          <w:rFonts w:ascii="Arial" w:hAnsi="Arial" w:cs="Arial"/>
          <w:sz w:val="24"/>
          <w:szCs w:val="24"/>
        </w:rPr>
      </w:pPr>
      <w:r w:rsidRPr="00BB1B30">
        <w:rPr>
          <w:rFonts w:ascii="Arial" w:hAnsi="Arial" w:cs="Arial"/>
          <w:sz w:val="24"/>
          <w:szCs w:val="24"/>
        </w:rPr>
        <w:t xml:space="preserve">A multidisciplinary two-day workshop involving stakeholders in physical activity scale-up (convened by University of Newcastle, Australia, and University of Ottawa, Canada; 2019). Objectives included exploring: (1) funding, </w:t>
      </w:r>
      <w:proofErr w:type="gramStart"/>
      <w:r w:rsidRPr="00BB1B30">
        <w:rPr>
          <w:rFonts w:ascii="Arial" w:hAnsi="Arial" w:cs="Arial"/>
          <w:sz w:val="24"/>
          <w:szCs w:val="24"/>
        </w:rPr>
        <w:t>evaluation</w:t>
      </w:r>
      <w:proofErr w:type="gramEnd"/>
      <w:r w:rsidRPr="00BB1B30">
        <w:rPr>
          <w:rFonts w:ascii="Arial" w:hAnsi="Arial" w:cs="Arial"/>
          <w:sz w:val="24"/>
          <w:szCs w:val="24"/>
        </w:rPr>
        <w:t xml:space="preserve"> and other </w:t>
      </w:r>
      <w:r w:rsidRPr="00BB1B30">
        <w:rPr>
          <w:rFonts w:ascii="Arial" w:hAnsi="Arial" w:cs="Arial"/>
          <w:sz w:val="24"/>
          <w:szCs w:val="24"/>
        </w:rPr>
        <w:lastRenderedPageBreak/>
        <w:t>challenges during scale-up; (2) research designs, process and outcome measures, and costing; and (3) collaboration between government and academic organisations. Workshop facilitators captured session notes, which were grouped into core topic areas. Core topics were organized and framed as ‘</w:t>
      </w:r>
      <w:r w:rsidRPr="00BB1B30">
        <w:rPr>
          <w:rFonts w:ascii="Arial" w:hAnsi="Arial" w:cs="Arial"/>
          <w:i/>
          <w:iCs/>
          <w:sz w:val="24"/>
          <w:szCs w:val="24"/>
        </w:rPr>
        <w:t>tensions’</w:t>
      </w:r>
      <w:r w:rsidRPr="00BB1B30">
        <w:rPr>
          <w:rFonts w:ascii="Arial" w:hAnsi="Arial" w:cs="Arial"/>
          <w:sz w:val="24"/>
          <w:szCs w:val="24"/>
        </w:rPr>
        <w:t xml:space="preserve"> and ‘</w:t>
      </w:r>
      <w:r w:rsidRPr="00BB1B30">
        <w:rPr>
          <w:rFonts w:ascii="Arial" w:hAnsi="Arial" w:cs="Arial"/>
          <w:i/>
          <w:iCs/>
          <w:sz w:val="24"/>
          <w:szCs w:val="24"/>
        </w:rPr>
        <w:t>paradoxes’</w:t>
      </w:r>
      <w:r w:rsidRPr="00BB1B30">
        <w:rPr>
          <w:rFonts w:ascii="Arial" w:hAnsi="Arial" w:cs="Arial"/>
          <w:sz w:val="24"/>
          <w:szCs w:val="24"/>
        </w:rPr>
        <w:t xml:space="preserve"> in the scale-up field.</w:t>
      </w:r>
    </w:p>
    <w:p w14:paraId="40956C1A" w14:textId="77777777" w:rsidR="00BB1B30" w:rsidRDefault="00BB1B30" w:rsidP="00BB1B30">
      <w:pPr>
        <w:spacing w:after="0"/>
        <w:rPr>
          <w:rFonts w:ascii="Arial" w:hAnsi="Arial" w:cs="Arial"/>
          <w:sz w:val="24"/>
          <w:szCs w:val="24"/>
        </w:rPr>
      </w:pPr>
    </w:p>
    <w:p w14:paraId="78582216" w14:textId="5D5562E7" w:rsidR="007231EB" w:rsidRPr="00BB1B30" w:rsidRDefault="0083790A" w:rsidP="00BB1B30">
      <w:pPr>
        <w:spacing w:after="0"/>
        <w:rPr>
          <w:rFonts w:ascii="Arial" w:hAnsi="Arial" w:cs="Arial"/>
          <w:sz w:val="24"/>
          <w:szCs w:val="24"/>
        </w:rPr>
      </w:pPr>
      <w:r w:rsidRPr="00BB1B30">
        <w:rPr>
          <w:rFonts w:ascii="Arial" w:hAnsi="Arial" w:cs="Arial"/>
          <w:b/>
          <w:sz w:val="24"/>
          <w:szCs w:val="24"/>
          <w:lang w:val="en-AU"/>
        </w:rPr>
        <w:t xml:space="preserve">Main findings </w:t>
      </w:r>
    </w:p>
    <w:p w14:paraId="4643A0A0" w14:textId="1C698C35" w:rsidR="00BD4965" w:rsidRPr="00F702D7" w:rsidRDefault="00F702D7" w:rsidP="00BB1B30">
      <w:pPr>
        <w:widowControl w:val="0"/>
        <w:autoSpaceDE w:val="0"/>
        <w:autoSpaceDN w:val="0"/>
        <w:adjustRightInd w:val="0"/>
        <w:spacing w:after="0"/>
        <w:rPr>
          <w:rFonts w:ascii="Arial" w:hAnsi="Arial" w:cs="Arial"/>
          <w:color w:val="FF0000"/>
          <w:sz w:val="20"/>
          <w:szCs w:val="20"/>
        </w:rPr>
      </w:pPr>
      <w:r w:rsidRPr="00BB1B30">
        <w:rPr>
          <w:rFonts w:ascii="Arial" w:hAnsi="Arial" w:cs="Arial"/>
          <w:sz w:val="24"/>
          <w:szCs w:val="24"/>
        </w:rPr>
        <w:t>Tensions included: epistemology, methodology, time, and partnerships. Paradoxes included: ‘reach without scale’, ‘planned serendipity’ and ‘simple complexity’. Tensions can impede scale-up progress. Paradoxes encourage a reframing of scaling mindsets. Implications and recommendations for future scale up research and practice included: (</w:t>
      </w:r>
      <w:proofErr w:type="spellStart"/>
      <w:r w:rsidRPr="00BB1B30">
        <w:rPr>
          <w:rFonts w:ascii="Arial" w:hAnsi="Arial" w:cs="Arial"/>
          <w:sz w:val="24"/>
          <w:szCs w:val="24"/>
        </w:rPr>
        <w:t>i</w:t>
      </w:r>
      <w:proofErr w:type="spellEnd"/>
      <w:r w:rsidRPr="00BB1B30">
        <w:rPr>
          <w:rFonts w:ascii="Arial" w:hAnsi="Arial" w:cs="Arial"/>
          <w:sz w:val="24"/>
          <w:szCs w:val="24"/>
        </w:rPr>
        <w:t>) broadening theoretical approaches, (ii) re-thinking data sources, (iii) co-creation for planning and design, (iv) shared values and evaluation approaches, (v) improving research-practice roles and partnerships.</w:t>
      </w:r>
      <w:r w:rsidR="007231EB" w:rsidRPr="00BB1B30">
        <w:rPr>
          <w:rFonts w:ascii="Arial" w:hAnsi="Arial" w:cs="Arial"/>
          <w:color w:val="FF0000"/>
          <w:sz w:val="24"/>
          <w:szCs w:val="24"/>
          <w:lang w:val="en-AU"/>
        </w:rPr>
        <w:tab/>
      </w: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8"/>
      <w:footerReference w:type="default" r:id="rId9"/>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93118" w14:textId="77777777" w:rsidR="00D87874" w:rsidRDefault="00D87874" w:rsidP="003C4168">
      <w:pPr>
        <w:spacing w:after="0" w:line="240" w:lineRule="auto"/>
      </w:pPr>
      <w:r>
        <w:separator/>
      </w:r>
    </w:p>
  </w:endnote>
  <w:endnote w:type="continuationSeparator" w:id="0">
    <w:p w14:paraId="5FAB4912" w14:textId="77777777" w:rsidR="00D87874" w:rsidRDefault="00D87874"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0BC7D" w14:textId="196D0109" w:rsidR="00696A08" w:rsidRPr="00457737" w:rsidRDefault="00457737" w:rsidP="00457737">
    <w:pPr>
      <w:pStyle w:val="Footer"/>
      <w:jc w:val="center"/>
      <w:rPr>
        <w:rFonts w:ascii="Arial Black" w:hAnsi="Arial Black"/>
        <w:color w:val="7F7F7F" w:themeColor="text1" w:themeTint="80"/>
        <w:sz w:val="38"/>
        <w:lang w:val="en-AU"/>
      </w:rPr>
    </w:pPr>
    <w:r w:rsidRPr="00457737">
      <w:rPr>
        <w:rFonts w:ascii="Arial Black" w:hAnsi="Arial Black"/>
        <w:noProof/>
        <w:color w:val="7F7F7F" w:themeColor="text1" w:themeTint="80"/>
        <w:sz w:val="38"/>
        <w:lang w:val="en-AU"/>
      </w:rPr>
      <w:t>www.</w:t>
    </w:r>
    <w:r w:rsidR="000F3F86">
      <w:rPr>
        <w:rFonts w:ascii="Arial Black" w:hAnsi="Arial Black"/>
        <w:noProof/>
        <w:color w:val="7F7F7F" w:themeColor="text1" w:themeTint="80"/>
        <w:sz w:val="38"/>
        <w:lang w:val="en-AU"/>
      </w:rPr>
      <w:t>eisummit</w:t>
    </w:r>
    <w:r w:rsidRPr="00457737">
      <w:rPr>
        <w:rFonts w:ascii="Arial Black" w:hAnsi="Arial Black"/>
        <w:noProof/>
        <w:color w:val="7F7F7F" w:themeColor="text1" w:themeTint="80"/>
        <w:sz w:val="38"/>
        <w:lang w:val="en-AU"/>
      </w:rPr>
      <w: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13E59" w14:textId="77777777" w:rsidR="00D87874" w:rsidRDefault="00D87874" w:rsidP="003C4168">
      <w:pPr>
        <w:spacing w:after="0" w:line="240" w:lineRule="auto"/>
      </w:pPr>
      <w:r>
        <w:separator/>
      </w:r>
    </w:p>
  </w:footnote>
  <w:footnote w:type="continuationSeparator" w:id="0">
    <w:p w14:paraId="7C5EDAA6" w14:textId="77777777" w:rsidR="00D87874" w:rsidRDefault="00D87874"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C6883" w14:textId="0B48CB0E" w:rsidR="00696A08" w:rsidRDefault="00CE361B" w:rsidP="000F3F86">
    <w:pPr>
      <w:pStyle w:val="Header"/>
      <w:jc w:val="center"/>
    </w:pPr>
    <w:r>
      <w:rPr>
        <w:noProof/>
        <w:lang w:val="en-AU" w:eastAsia="en-AU" w:bidi="ar-SA"/>
      </w:rPr>
      <w:drawing>
        <wp:inline distT="0" distB="0" distL="0" distR="0" wp14:anchorId="02A2851F" wp14:editId="0C6F9AFB">
          <wp:extent cx="3809524" cy="1904762"/>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IS 2023 - Email Signature New.png"/>
                  <pic:cNvPicPr/>
                </pic:nvPicPr>
                <pic:blipFill>
                  <a:blip r:embed="rId1">
                    <a:extLst>
                      <a:ext uri="{28A0092B-C50C-407E-A947-70E740481C1C}">
                        <a14:useLocalDpi xmlns:a14="http://schemas.microsoft.com/office/drawing/2010/main" val="0"/>
                      </a:ext>
                    </a:extLst>
                  </a:blip>
                  <a:stretch>
                    <a:fillRect/>
                  </a:stretch>
                </pic:blipFill>
                <pic:spPr>
                  <a:xfrm>
                    <a:off x="0" y="0"/>
                    <a:ext cx="3809524" cy="1904762"/>
                  </a:xfrm>
                  <a:prstGeom prst="rect">
                    <a:avLst/>
                  </a:prstGeom>
                </pic:spPr>
              </pic:pic>
            </a:graphicData>
          </a:graphic>
        </wp:inline>
      </w:drawing>
    </w: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4B720E"/>
    <w:multiLevelType w:val="hybridMultilevel"/>
    <w:tmpl w:val="903480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94391400">
    <w:abstractNumId w:val="6"/>
  </w:num>
  <w:num w:numId="2" w16cid:durableId="918632252">
    <w:abstractNumId w:val="4"/>
  </w:num>
  <w:num w:numId="3" w16cid:durableId="21787152">
    <w:abstractNumId w:val="11"/>
  </w:num>
  <w:num w:numId="4" w16cid:durableId="1441291995">
    <w:abstractNumId w:val="2"/>
  </w:num>
  <w:num w:numId="5" w16cid:durableId="1360816927">
    <w:abstractNumId w:val="9"/>
  </w:num>
  <w:num w:numId="6" w16cid:durableId="598030915">
    <w:abstractNumId w:val="1"/>
  </w:num>
  <w:num w:numId="7" w16cid:durableId="984048682">
    <w:abstractNumId w:val="3"/>
  </w:num>
  <w:num w:numId="8" w16cid:durableId="1153183652">
    <w:abstractNumId w:val="13"/>
  </w:num>
  <w:num w:numId="9" w16cid:durableId="412553234">
    <w:abstractNumId w:val="5"/>
  </w:num>
  <w:num w:numId="10" w16cid:durableId="865093347">
    <w:abstractNumId w:val="10"/>
  </w:num>
  <w:num w:numId="11" w16cid:durableId="219486319">
    <w:abstractNumId w:val="12"/>
  </w:num>
  <w:num w:numId="12" w16cid:durableId="258877235">
    <w:abstractNumId w:val="8"/>
  </w:num>
  <w:num w:numId="13" w16cid:durableId="1843355424">
    <w:abstractNumId w:val="0"/>
  </w:num>
  <w:num w:numId="14" w16cid:durableId="2868614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A86"/>
    <w:rsid w:val="00011F2A"/>
    <w:rsid w:val="00021393"/>
    <w:rsid w:val="000328B5"/>
    <w:rsid w:val="00041165"/>
    <w:rsid w:val="00054817"/>
    <w:rsid w:val="000A247E"/>
    <w:rsid w:val="000B3948"/>
    <w:rsid w:val="000C68EC"/>
    <w:rsid w:val="000D17F9"/>
    <w:rsid w:val="000D1D57"/>
    <w:rsid w:val="000D3C9D"/>
    <w:rsid w:val="000F00DD"/>
    <w:rsid w:val="000F0C06"/>
    <w:rsid w:val="000F3F86"/>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93AA4"/>
    <w:rsid w:val="002A0EAA"/>
    <w:rsid w:val="002B6643"/>
    <w:rsid w:val="002D17C6"/>
    <w:rsid w:val="002F07AC"/>
    <w:rsid w:val="00326479"/>
    <w:rsid w:val="00341541"/>
    <w:rsid w:val="00354666"/>
    <w:rsid w:val="003610C7"/>
    <w:rsid w:val="0039371E"/>
    <w:rsid w:val="003B4148"/>
    <w:rsid w:val="003B5C77"/>
    <w:rsid w:val="003C4168"/>
    <w:rsid w:val="003C5F13"/>
    <w:rsid w:val="003D0131"/>
    <w:rsid w:val="003D1F3B"/>
    <w:rsid w:val="004459E3"/>
    <w:rsid w:val="00453EEF"/>
    <w:rsid w:val="00457737"/>
    <w:rsid w:val="00464AFE"/>
    <w:rsid w:val="004846F6"/>
    <w:rsid w:val="004A3322"/>
    <w:rsid w:val="004E2E06"/>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8048C"/>
    <w:rsid w:val="00696A08"/>
    <w:rsid w:val="006A4461"/>
    <w:rsid w:val="006A5A86"/>
    <w:rsid w:val="006D0974"/>
    <w:rsid w:val="00700D73"/>
    <w:rsid w:val="00704FB2"/>
    <w:rsid w:val="00711B13"/>
    <w:rsid w:val="0071789F"/>
    <w:rsid w:val="007231EB"/>
    <w:rsid w:val="0073151C"/>
    <w:rsid w:val="00735389"/>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93E16"/>
    <w:rsid w:val="00AA6DED"/>
    <w:rsid w:val="00AB1D19"/>
    <w:rsid w:val="00AB24BB"/>
    <w:rsid w:val="00AE3205"/>
    <w:rsid w:val="00B07304"/>
    <w:rsid w:val="00B12714"/>
    <w:rsid w:val="00B2291E"/>
    <w:rsid w:val="00B22EA9"/>
    <w:rsid w:val="00B26733"/>
    <w:rsid w:val="00B30929"/>
    <w:rsid w:val="00B57E24"/>
    <w:rsid w:val="00B6274B"/>
    <w:rsid w:val="00B82829"/>
    <w:rsid w:val="00B853C1"/>
    <w:rsid w:val="00BA4BA8"/>
    <w:rsid w:val="00BB1B30"/>
    <w:rsid w:val="00BD4965"/>
    <w:rsid w:val="00BF1BCC"/>
    <w:rsid w:val="00C3002F"/>
    <w:rsid w:val="00C31CC5"/>
    <w:rsid w:val="00C43AE6"/>
    <w:rsid w:val="00C64D55"/>
    <w:rsid w:val="00C64EC8"/>
    <w:rsid w:val="00C73E39"/>
    <w:rsid w:val="00C74127"/>
    <w:rsid w:val="00C81CCB"/>
    <w:rsid w:val="00CB3EE5"/>
    <w:rsid w:val="00CB5B52"/>
    <w:rsid w:val="00CC10EE"/>
    <w:rsid w:val="00CE361B"/>
    <w:rsid w:val="00D573C9"/>
    <w:rsid w:val="00D61431"/>
    <w:rsid w:val="00D62C6E"/>
    <w:rsid w:val="00D65CB0"/>
    <w:rsid w:val="00D87874"/>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F314EF"/>
    <w:rsid w:val="00F42A0F"/>
    <w:rsid w:val="00F517AA"/>
    <w:rsid w:val="00F54841"/>
    <w:rsid w:val="00F702D7"/>
    <w:rsid w:val="00F821E9"/>
    <w:rsid w:val="00F90AE6"/>
    <w:rsid w:val="00FB4F7E"/>
    <w:rsid w:val="00FC17A5"/>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C57C2-BECF-4228-9661-41E846DEE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Heidi Jephtha</cp:lastModifiedBy>
  <cp:revision>2</cp:revision>
  <cp:lastPrinted>2013-02-08T01:20:00Z</cp:lastPrinted>
  <dcterms:created xsi:type="dcterms:W3CDTF">2023-08-18T03:44:00Z</dcterms:created>
  <dcterms:modified xsi:type="dcterms:W3CDTF">2023-08-18T03:44:00Z</dcterms:modified>
</cp:coreProperties>
</file>