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23902" w14:textId="77777777" w:rsidR="00AC27E8" w:rsidRDefault="00AC27E8" w:rsidP="003D1F3B">
      <w:pPr>
        <w:spacing w:after="0" w:line="240" w:lineRule="auto"/>
        <w:rPr>
          <w:rFonts w:ascii="Arial" w:eastAsia="Times New Roman" w:hAnsi="Arial" w:cs="Arial"/>
          <w:sz w:val="20"/>
          <w:szCs w:val="20"/>
        </w:rPr>
      </w:pPr>
    </w:p>
    <w:p w14:paraId="0A107488" w14:textId="0829BB47" w:rsidR="00B12714" w:rsidRPr="00AC27E8" w:rsidRDefault="00AC27E8" w:rsidP="00AC27E8">
      <w:pPr>
        <w:spacing w:before="0" w:after="0" w:line="240" w:lineRule="auto"/>
        <w:rPr>
          <w:rFonts w:ascii="Arial" w:eastAsia="Times New Roman" w:hAnsi="Arial" w:cs="Arial"/>
          <w:b/>
          <w:sz w:val="24"/>
          <w:szCs w:val="20"/>
        </w:rPr>
      </w:pPr>
      <w:r w:rsidRPr="00AC27E8">
        <w:rPr>
          <w:rFonts w:ascii="Arial" w:eastAsia="Times New Roman" w:hAnsi="Arial" w:cs="Arial"/>
          <w:b/>
          <w:sz w:val="24"/>
          <w:szCs w:val="20"/>
        </w:rPr>
        <w:t>PAPER NUMBER #333</w:t>
      </w:r>
    </w:p>
    <w:p w14:paraId="28F602DA" w14:textId="4861E34C" w:rsidR="00CB3EE5" w:rsidRPr="00AC27E8" w:rsidRDefault="00AC27E8" w:rsidP="00AC27E8">
      <w:pPr>
        <w:spacing w:before="0" w:after="0" w:line="240" w:lineRule="auto"/>
        <w:rPr>
          <w:rFonts w:ascii="Arial" w:hAnsi="Arial" w:cs="Arial"/>
          <w:b/>
          <w:szCs w:val="20"/>
          <w:lang w:val="en-AU"/>
        </w:rPr>
      </w:pPr>
      <w:r w:rsidRPr="00AC27E8">
        <w:rPr>
          <w:rFonts w:ascii="Arial" w:hAnsi="Arial" w:cs="Arial"/>
          <w:b/>
          <w:szCs w:val="20"/>
          <w:lang w:val="en-AU"/>
        </w:rPr>
        <w:t>Evidence to answer second-generation questions for complex policy areas</w:t>
      </w:r>
    </w:p>
    <w:p w14:paraId="6E59AFA7" w14:textId="77777777" w:rsidR="00AC27E8" w:rsidRPr="00AC27E8" w:rsidRDefault="00AC27E8" w:rsidP="00AC27E8">
      <w:pPr>
        <w:spacing w:before="0" w:after="0" w:line="240" w:lineRule="auto"/>
        <w:rPr>
          <w:rFonts w:ascii="Arial" w:hAnsi="Arial" w:cs="Arial"/>
          <w:b/>
          <w:sz w:val="20"/>
          <w:szCs w:val="20"/>
          <w:lang w:val="en-AU"/>
        </w:rPr>
      </w:pPr>
    </w:p>
    <w:p w14:paraId="1A280EC7" w14:textId="1361F8BF" w:rsidR="00EB42BD" w:rsidRPr="00AC27E8" w:rsidRDefault="00AC27E8" w:rsidP="00AC27E8">
      <w:pPr>
        <w:spacing w:before="0" w:after="0" w:line="240" w:lineRule="auto"/>
        <w:rPr>
          <w:rFonts w:ascii="Arial" w:eastAsia="Times New Roman" w:hAnsi="Arial" w:cs="Arial"/>
          <w:sz w:val="20"/>
          <w:szCs w:val="20"/>
        </w:rPr>
      </w:pPr>
      <w:r w:rsidRPr="00AC27E8">
        <w:rPr>
          <w:rFonts w:ascii="Arial" w:eastAsia="Times New Roman" w:hAnsi="Arial" w:cs="Arial"/>
          <w:b/>
          <w:sz w:val="20"/>
          <w:szCs w:val="20"/>
        </w:rPr>
        <w:t>Presenting Author</w:t>
      </w:r>
      <w:r w:rsidR="000F00DD" w:rsidRPr="00AC27E8">
        <w:rPr>
          <w:rFonts w:ascii="Arial" w:eastAsia="Times New Roman" w:hAnsi="Arial" w:cs="Arial"/>
          <w:b/>
          <w:sz w:val="20"/>
          <w:szCs w:val="20"/>
        </w:rPr>
        <w:t>s</w:t>
      </w:r>
    </w:p>
    <w:p w14:paraId="29DB496A" w14:textId="5702A963" w:rsidR="000F00DD" w:rsidRPr="00AC27E8" w:rsidRDefault="00AC27E8" w:rsidP="00AC27E8">
      <w:pPr>
        <w:spacing w:before="0" w:after="0" w:line="240" w:lineRule="auto"/>
        <w:rPr>
          <w:rFonts w:ascii="Arial" w:hAnsi="Arial" w:cs="Arial"/>
          <w:sz w:val="20"/>
          <w:szCs w:val="20"/>
          <w:lang w:val="en-AU"/>
        </w:rPr>
      </w:pPr>
      <w:r w:rsidRPr="00AC27E8">
        <w:rPr>
          <w:rFonts w:ascii="Arial" w:hAnsi="Arial" w:cs="Arial"/>
          <w:sz w:val="20"/>
          <w:szCs w:val="20"/>
          <w:lang w:val="en-AU"/>
        </w:rPr>
        <w:t>Professor Patricia Rogers1, Professor Penny Hawe2, Dr Tim Moore3</w:t>
      </w:r>
    </w:p>
    <w:p w14:paraId="1C291435" w14:textId="77777777" w:rsidR="00AC27E8" w:rsidRPr="00AC27E8" w:rsidRDefault="00AC27E8" w:rsidP="00AC27E8">
      <w:pPr>
        <w:spacing w:before="0" w:after="0" w:line="240" w:lineRule="auto"/>
        <w:rPr>
          <w:rFonts w:ascii="Arial" w:hAnsi="Arial" w:cs="Arial"/>
          <w:sz w:val="20"/>
          <w:szCs w:val="20"/>
          <w:lang w:val="en-AU"/>
        </w:rPr>
      </w:pPr>
    </w:p>
    <w:p w14:paraId="6E2D438B" w14:textId="6B5FB8F4" w:rsidR="00FD5DBF" w:rsidRPr="00AC27E8" w:rsidRDefault="00EB42BD" w:rsidP="00AC27E8">
      <w:pPr>
        <w:spacing w:before="0" w:after="0" w:line="240" w:lineRule="auto"/>
        <w:rPr>
          <w:rFonts w:ascii="Arial" w:hAnsi="Arial" w:cs="Arial"/>
          <w:b/>
          <w:sz w:val="20"/>
          <w:szCs w:val="20"/>
          <w:lang w:val="en-AU"/>
        </w:rPr>
      </w:pPr>
      <w:r w:rsidRPr="00AC27E8">
        <w:rPr>
          <w:rFonts w:ascii="Arial" w:hAnsi="Arial" w:cs="Arial"/>
          <w:b/>
          <w:sz w:val="20"/>
          <w:szCs w:val="20"/>
          <w:lang w:val="en-AU"/>
        </w:rPr>
        <w:t>Affiliation</w:t>
      </w:r>
    </w:p>
    <w:p w14:paraId="7576B3ED" w14:textId="3CC3EA62" w:rsidR="00AC27E8" w:rsidRPr="00AC27E8" w:rsidRDefault="00AC27E8" w:rsidP="00AC27E8">
      <w:pPr>
        <w:pStyle w:val="ListParagraph"/>
        <w:numPr>
          <w:ilvl w:val="0"/>
          <w:numId w:val="14"/>
        </w:numPr>
        <w:spacing w:before="0" w:after="0" w:line="240" w:lineRule="auto"/>
        <w:rPr>
          <w:rFonts w:ascii="Arial" w:eastAsia="Times New Roman" w:hAnsi="Arial" w:cs="Arial"/>
          <w:sz w:val="20"/>
          <w:szCs w:val="20"/>
        </w:rPr>
      </w:pPr>
      <w:r w:rsidRPr="00AC27E8">
        <w:rPr>
          <w:rFonts w:ascii="Arial" w:eastAsia="Times New Roman" w:hAnsi="Arial" w:cs="Arial"/>
          <w:sz w:val="20"/>
          <w:szCs w:val="20"/>
        </w:rPr>
        <w:t>The Australia and New Zealand School of Government</w:t>
      </w:r>
    </w:p>
    <w:p w14:paraId="65E17C9D" w14:textId="3BAB7505" w:rsidR="00AC27E8" w:rsidRPr="00AC27E8" w:rsidRDefault="00AC27E8" w:rsidP="00AC27E8">
      <w:pPr>
        <w:pStyle w:val="ListParagraph"/>
        <w:numPr>
          <w:ilvl w:val="0"/>
          <w:numId w:val="14"/>
        </w:numPr>
        <w:spacing w:before="0" w:after="0" w:line="240" w:lineRule="auto"/>
        <w:rPr>
          <w:rFonts w:ascii="Arial" w:eastAsia="Times New Roman" w:hAnsi="Arial" w:cs="Arial"/>
          <w:sz w:val="20"/>
          <w:szCs w:val="20"/>
        </w:rPr>
      </w:pPr>
      <w:r w:rsidRPr="00AC27E8">
        <w:rPr>
          <w:rFonts w:ascii="Arial" w:eastAsia="Times New Roman" w:hAnsi="Arial" w:cs="Arial"/>
          <w:sz w:val="20"/>
          <w:szCs w:val="20"/>
        </w:rPr>
        <w:t>Menzies Centre for Health Policy, University of Sydney</w:t>
      </w:r>
    </w:p>
    <w:p w14:paraId="32B9D9BB" w14:textId="77777777" w:rsidR="00AC27E8" w:rsidRPr="00AC27E8" w:rsidRDefault="00AC27E8" w:rsidP="00AC27E8">
      <w:pPr>
        <w:pStyle w:val="ListParagraph"/>
        <w:numPr>
          <w:ilvl w:val="0"/>
          <w:numId w:val="14"/>
        </w:numPr>
        <w:spacing w:before="0" w:after="0" w:line="240" w:lineRule="auto"/>
        <w:rPr>
          <w:rFonts w:ascii="Arial" w:eastAsia="Times New Roman" w:hAnsi="Arial" w:cs="Arial"/>
          <w:sz w:val="20"/>
          <w:szCs w:val="20"/>
        </w:rPr>
      </w:pPr>
      <w:r w:rsidRPr="00AC27E8">
        <w:rPr>
          <w:rFonts w:ascii="Arial" w:eastAsia="Times New Roman" w:hAnsi="Arial" w:cs="Arial"/>
          <w:sz w:val="20"/>
          <w:szCs w:val="20"/>
        </w:rPr>
        <w:t>The Centre for Community Child Health, Murdoch Children's Research Institute</w:t>
      </w:r>
    </w:p>
    <w:p w14:paraId="2446502C" w14:textId="77777777" w:rsidR="00AC27E8" w:rsidRPr="00AC27E8" w:rsidRDefault="00AC27E8" w:rsidP="00AC27E8">
      <w:pPr>
        <w:spacing w:before="0" w:after="0" w:line="240" w:lineRule="auto"/>
        <w:rPr>
          <w:rFonts w:ascii="Arial" w:eastAsia="Times New Roman" w:hAnsi="Arial" w:cs="Arial"/>
          <w:b/>
          <w:sz w:val="20"/>
          <w:szCs w:val="20"/>
        </w:rPr>
      </w:pPr>
    </w:p>
    <w:p w14:paraId="44EC24DD" w14:textId="387E6C18" w:rsidR="00796ABC" w:rsidRPr="00AC27E8" w:rsidRDefault="00796ABC" w:rsidP="00AC27E8">
      <w:pPr>
        <w:spacing w:before="0" w:after="0" w:line="240" w:lineRule="auto"/>
        <w:rPr>
          <w:rFonts w:ascii="Arial" w:eastAsia="Times New Roman" w:hAnsi="Arial" w:cs="Arial"/>
          <w:b/>
          <w:sz w:val="20"/>
          <w:szCs w:val="20"/>
        </w:rPr>
      </w:pPr>
      <w:r w:rsidRPr="00AC27E8">
        <w:rPr>
          <w:rFonts w:ascii="Arial" w:eastAsia="Times New Roman" w:hAnsi="Arial" w:cs="Arial"/>
          <w:b/>
          <w:sz w:val="20"/>
          <w:szCs w:val="20"/>
        </w:rPr>
        <w:t>Country of residence</w:t>
      </w:r>
    </w:p>
    <w:p w14:paraId="324F1591" w14:textId="2694AF8A" w:rsidR="00796ABC" w:rsidRPr="00AC27E8" w:rsidRDefault="00AC27E8" w:rsidP="00AC27E8">
      <w:pPr>
        <w:spacing w:before="0" w:after="0" w:line="240" w:lineRule="auto"/>
        <w:rPr>
          <w:rFonts w:ascii="Arial" w:eastAsia="Times New Roman" w:hAnsi="Arial" w:cs="Arial"/>
          <w:sz w:val="20"/>
          <w:szCs w:val="20"/>
        </w:rPr>
      </w:pPr>
      <w:r w:rsidRPr="00AC27E8">
        <w:rPr>
          <w:rFonts w:ascii="Arial" w:eastAsia="Times New Roman" w:hAnsi="Arial" w:cs="Arial"/>
          <w:sz w:val="20"/>
          <w:szCs w:val="20"/>
        </w:rPr>
        <w:t>Australia</w:t>
      </w:r>
    </w:p>
    <w:p w14:paraId="0FED848E" w14:textId="77777777" w:rsidR="00AC27E8" w:rsidRPr="00AC27E8" w:rsidRDefault="00AC27E8" w:rsidP="00AC27E8">
      <w:pPr>
        <w:spacing w:before="0" w:after="0" w:line="240" w:lineRule="auto"/>
        <w:rPr>
          <w:rFonts w:ascii="Arial" w:hAnsi="Arial" w:cs="Arial"/>
          <w:b/>
          <w:sz w:val="20"/>
          <w:szCs w:val="20"/>
          <w:lang w:val="en-AU"/>
        </w:rPr>
      </w:pPr>
    </w:p>
    <w:p w14:paraId="483A37B9" w14:textId="09D3E694" w:rsidR="003D1F3B" w:rsidRPr="00AC27E8" w:rsidRDefault="003B4148" w:rsidP="00AC27E8">
      <w:pPr>
        <w:spacing w:before="0" w:after="0" w:line="240" w:lineRule="auto"/>
        <w:rPr>
          <w:rFonts w:ascii="Arial" w:hAnsi="Arial" w:cs="Arial"/>
          <w:b/>
          <w:sz w:val="20"/>
          <w:szCs w:val="20"/>
          <w:lang w:val="en-AU"/>
        </w:rPr>
      </w:pPr>
      <w:r w:rsidRPr="00AC27E8">
        <w:rPr>
          <w:rFonts w:ascii="Arial" w:hAnsi="Arial" w:cs="Arial"/>
          <w:b/>
          <w:sz w:val="20"/>
          <w:szCs w:val="20"/>
          <w:lang w:val="en-AU"/>
        </w:rPr>
        <w:t>O</w:t>
      </w:r>
      <w:r w:rsidR="0083790A" w:rsidRPr="00AC27E8">
        <w:rPr>
          <w:rFonts w:ascii="Arial" w:hAnsi="Arial" w:cs="Arial"/>
          <w:b/>
          <w:sz w:val="20"/>
          <w:szCs w:val="20"/>
          <w:lang w:val="en-AU"/>
        </w:rPr>
        <w:t>bjectives/aims</w:t>
      </w:r>
      <w:r w:rsidR="00881693" w:rsidRPr="00AC27E8">
        <w:rPr>
          <w:rFonts w:ascii="Arial" w:hAnsi="Arial" w:cs="Arial"/>
          <w:b/>
          <w:sz w:val="20"/>
          <w:szCs w:val="20"/>
          <w:lang w:val="en-AU"/>
        </w:rPr>
        <w:t xml:space="preserve"> </w:t>
      </w:r>
    </w:p>
    <w:p w14:paraId="0E6C95DD" w14:textId="77777777" w:rsidR="00AC27E8" w:rsidRPr="00AC27E8" w:rsidRDefault="00AC27E8" w:rsidP="00AC27E8">
      <w:pPr>
        <w:spacing w:before="0" w:after="0" w:line="240" w:lineRule="auto"/>
        <w:rPr>
          <w:rFonts w:ascii="Arial" w:hAnsi="Arial" w:cs="Arial"/>
          <w:sz w:val="20"/>
          <w:szCs w:val="20"/>
          <w:lang w:val="en-AU"/>
        </w:rPr>
      </w:pPr>
      <w:r w:rsidRPr="00AC27E8">
        <w:rPr>
          <w:rFonts w:ascii="Arial" w:hAnsi="Arial" w:cs="Arial"/>
          <w:sz w:val="20"/>
          <w:szCs w:val="20"/>
          <w:lang w:val="en-AU"/>
        </w:rPr>
        <w:t>There is increasing discussion of the need to go beyond the first generation question ‘what works?’ to second-generation questions such as ‘what works for whom, in what situations?’; ‘how does it work?’; ‘what is it that works?’; ‘what other factors are needed for success?’; and ‘how could it be implemented here?</w:t>
      </w:r>
      <w:proofErr w:type="gramStart"/>
      <w:r w:rsidRPr="00AC27E8">
        <w:rPr>
          <w:rFonts w:ascii="Arial" w:hAnsi="Arial" w:cs="Arial"/>
          <w:sz w:val="20"/>
          <w:szCs w:val="20"/>
          <w:lang w:val="en-AU"/>
        </w:rPr>
        <w:t>’(</w:t>
      </w:r>
      <w:proofErr w:type="gramEnd"/>
      <w:r w:rsidRPr="00AC27E8">
        <w:rPr>
          <w:rFonts w:ascii="Arial" w:hAnsi="Arial" w:cs="Arial"/>
          <w:sz w:val="20"/>
          <w:szCs w:val="20"/>
          <w:lang w:val="en-AU"/>
        </w:rPr>
        <w:t>e.g. Howard White, 2016).</w:t>
      </w:r>
    </w:p>
    <w:p w14:paraId="30DA6058" w14:textId="76BE00FF" w:rsidR="007231EB" w:rsidRPr="00AC27E8" w:rsidRDefault="00AC27E8" w:rsidP="00AC27E8">
      <w:pPr>
        <w:spacing w:before="0" w:after="0" w:line="240" w:lineRule="auto"/>
        <w:rPr>
          <w:rFonts w:ascii="Arial" w:hAnsi="Arial" w:cs="Arial"/>
          <w:sz w:val="20"/>
          <w:szCs w:val="20"/>
          <w:lang w:val="en-AU"/>
        </w:rPr>
      </w:pPr>
      <w:bookmarkStart w:id="0" w:name="_GoBack"/>
      <w:bookmarkEnd w:id="0"/>
      <w:r w:rsidRPr="00AC27E8">
        <w:rPr>
          <w:rFonts w:ascii="Arial" w:hAnsi="Arial" w:cs="Arial"/>
          <w:sz w:val="20"/>
          <w:szCs w:val="20"/>
          <w:lang w:val="en-AU"/>
        </w:rPr>
        <w:t>This session focuses on how to make this transition. Users of evidence need to learn to ask second-generation questions, and producers of evidence need to collect and present a wider range of evidence to answer these questions in useful ways.</w:t>
      </w:r>
    </w:p>
    <w:p w14:paraId="2CF6EF34" w14:textId="77777777" w:rsidR="00AC27E8" w:rsidRPr="00AC27E8" w:rsidRDefault="00AC27E8" w:rsidP="00AC27E8">
      <w:pPr>
        <w:keepNext/>
        <w:spacing w:before="0" w:after="0" w:line="240" w:lineRule="auto"/>
        <w:rPr>
          <w:rFonts w:ascii="Arial" w:hAnsi="Arial" w:cs="Arial"/>
          <w:b/>
          <w:sz w:val="20"/>
          <w:szCs w:val="20"/>
          <w:lang w:val="en-AU"/>
        </w:rPr>
      </w:pPr>
    </w:p>
    <w:p w14:paraId="44AEE3BD" w14:textId="02DE8091" w:rsidR="007231EB" w:rsidRPr="00AC27E8" w:rsidRDefault="0083790A" w:rsidP="00AC27E8">
      <w:pPr>
        <w:keepNext/>
        <w:spacing w:before="0" w:after="0" w:line="240" w:lineRule="auto"/>
        <w:rPr>
          <w:rFonts w:ascii="Arial" w:hAnsi="Arial" w:cs="Arial"/>
          <w:b/>
          <w:sz w:val="20"/>
          <w:szCs w:val="20"/>
          <w:lang w:val="en-AU"/>
        </w:rPr>
      </w:pPr>
      <w:r w:rsidRPr="00AC27E8">
        <w:rPr>
          <w:rFonts w:ascii="Arial" w:hAnsi="Arial" w:cs="Arial"/>
          <w:b/>
          <w:sz w:val="20"/>
          <w:szCs w:val="20"/>
          <w:lang w:val="en-AU"/>
        </w:rPr>
        <w:t>M</w:t>
      </w:r>
      <w:r w:rsidR="007231EB" w:rsidRPr="00AC27E8">
        <w:rPr>
          <w:rFonts w:ascii="Arial" w:hAnsi="Arial" w:cs="Arial"/>
          <w:b/>
          <w:sz w:val="20"/>
          <w:szCs w:val="20"/>
          <w:lang w:val="en-AU"/>
        </w:rPr>
        <w:t>ethods</w:t>
      </w:r>
      <w:r w:rsidR="00A71CA8" w:rsidRPr="00AC27E8">
        <w:rPr>
          <w:rFonts w:ascii="Arial" w:hAnsi="Arial" w:cs="Arial"/>
          <w:b/>
          <w:sz w:val="20"/>
          <w:szCs w:val="20"/>
          <w:lang w:val="en-AU"/>
        </w:rPr>
        <w:t xml:space="preserve"> </w:t>
      </w:r>
    </w:p>
    <w:p w14:paraId="10465CF6" w14:textId="77777777" w:rsidR="00AC27E8" w:rsidRPr="00AC27E8" w:rsidRDefault="00AC27E8" w:rsidP="00AC27E8">
      <w:pPr>
        <w:spacing w:before="0" w:after="0" w:line="240" w:lineRule="auto"/>
        <w:rPr>
          <w:rFonts w:ascii="Arial" w:hAnsi="Arial" w:cs="Arial"/>
          <w:sz w:val="20"/>
          <w:szCs w:val="20"/>
          <w:lang w:val="en-AU"/>
        </w:rPr>
      </w:pPr>
      <w:r w:rsidRPr="00AC27E8">
        <w:rPr>
          <w:rFonts w:ascii="Arial" w:hAnsi="Arial" w:cs="Arial"/>
          <w:sz w:val="20"/>
          <w:szCs w:val="20"/>
          <w:lang w:val="en-AU"/>
        </w:rPr>
        <w:t>This session will open with a short presentation by each of the three speakers, with a facilitated discussion with participants about working with second-generation questions, and conclude with a summary from each speaker.</w:t>
      </w:r>
    </w:p>
    <w:p w14:paraId="766902D6" w14:textId="77777777" w:rsidR="00AC27E8" w:rsidRPr="00AC27E8" w:rsidRDefault="00AC27E8" w:rsidP="00AC27E8">
      <w:pPr>
        <w:spacing w:before="0" w:after="0" w:line="240" w:lineRule="auto"/>
        <w:rPr>
          <w:rFonts w:ascii="Arial" w:hAnsi="Arial" w:cs="Arial"/>
          <w:sz w:val="20"/>
          <w:szCs w:val="20"/>
          <w:lang w:val="en-AU"/>
        </w:rPr>
      </w:pPr>
      <w:r w:rsidRPr="00AC27E8">
        <w:rPr>
          <w:rFonts w:ascii="Arial" w:hAnsi="Arial" w:cs="Arial"/>
          <w:sz w:val="20"/>
          <w:szCs w:val="20"/>
          <w:lang w:val="en-AU"/>
        </w:rPr>
        <w:t xml:space="preserve">Professor Penny </w:t>
      </w:r>
      <w:proofErr w:type="spellStart"/>
      <w:r w:rsidRPr="00AC27E8">
        <w:rPr>
          <w:rFonts w:ascii="Arial" w:hAnsi="Arial" w:cs="Arial"/>
          <w:sz w:val="20"/>
          <w:szCs w:val="20"/>
          <w:lang w:val="en-AU"/>
        </w:rPr>
        <w:t>Hawe</w:t>
      </w:r>
      <w:proofErr w:type="spellEnd"/>
      <w:r w:rsidRPr="00AC27E8">
        <w:rPr>
          <w:rFonts w:ascii="Arial" w:hAnsi="Arial" w:cs="Arial"/>
          <w:sz w:val="20"/>
          <w:szCs w:val="20"/>
          <w:lang w:val="en-AU"/>
        </w:rPr>
        <w:t>, The Australian Prevention Partnership Centre, University of Sydney.</w:t>
      </w:r>
    </w:p>
    <w:p w14:paraId="359EB1CC" w14:textId="77777777" w:rsidR="00AC27E8" w:rsidRPr="00AC27E8" w:rsidRDefault="00AC27E8" w:rsidP="00AC27E8">
      <w:pPr>
        <w:spacing w:before="0" w:after="0" w:line="240" w:lineRule="auto"/>
        <w:rPr>
          <w:rFonts w:ascii="Arial" w:hAnsi="Arial" w:cs="Arial"/>
          <w:sz w:val="20"/>
          <w:szCs w:val="20"/>
          <w:lang w:val="en-AU"/>
        </w:rPr>
      </w:pPr>
      <w:r w:rsidRPr="00AC27E8">
        <w:rPr>
          <w:rFonts w:ascii="Arial" w:hAnsi="Arial" w:cs="Arial"/>
          <w:sz w:val="20"/>
          <w:szCs w:val="20"/>
          <w:lang w:val="en-AU"/>
        </w:rPr>
        <w:t>Dr Tim Moore, Senior Research Fellow at the Centre for Community Child Health.</w:t>
      </w:r>
    </w:p>
    <w:p w14:paraId="32B92438" w14:textId="2417A1DF" w:rsidR="007231EB" w:rsidRPr="00AC27E8" w:rsidRDefault="00AC27E8" w:rsidP="00AC27E8">
      <w:pPr>
        <w:spacing w:before="0" w:after="0" w:line="240" w:lineRule="auto"/>
        <w:rPr>
          <w:rFonts w:ascii="Arial" w:hAnsi="Arial" w:cs="Arial"/>
          <w:sz w:val="20"/>
          <w:szCs w:val="20"/>
          <w:lang w:val="en-AU"/>
        </w:rPr>
      </w:pPr>
      <w:r w:rsidRPr="00AC27E8">
        <w:rPr>
          <w:rFonts w:ascii="Arial" w:hAnsi="Arial" w:cs="Arial"/>
          <w:sz w:val="20"/>
          <w:szCs w:val="20"/>
          <w:lang w:val="en-AU"/>
        </w:rPr>
        <w:t xml:space="preserve">Professor Patricia Rogers, Professor of Public Sector Evaluation, Australia and New Zealand School of Government, and Director, </w:t>
      </w:r>
      <w:proofErr w:type="spellStart"/>
      <w:r w:rsidRPr="00AC27E8">
        <w:rPr>
          <w:rFonts w:ascii="Arial" w:hAnsi="Arial" w:cs="Arial"/>
          <w:sz w:val="20"/>
          <w:szCs w:val="20"/>
          <w:lang w:val="en-AU"/>
        </w:rPr>
        <w:t>BetterEvaluation</w:t>
      </w:r>
      <w:proofErr w:type="spellEnd"/>
      <w:r w:rsidRPr="00AC27E8">
        <w:rPr>
          <w:rFonts w:ascii="Arial" w:hAnsi="Arial" w:cs="Arial"/>
          <w:sz w:val="20"/>
          <w:szCs w:val="20"/>
          <w:lang w:val="en-AU"/>
        </w:rPr>
        <w:t>.</w:t>
      </w:r>
    </w:p>
    <w:p w14:paraId="5802EA2C" w14:textId="77777777" w:rsidR="00AC27E8" w:rsidRPr="00AC27E8" w:rsidRDefault="00AC27E8" w:rsidP="00AC27E8">
      <w:pPr>
        <w:spacing w:before="0" w:after="0" w:line="240" w:lineRule="auto"/>
        <w:rPr>
          <w:rFonts w:ascii="Arial" w:hAnsi="Arial" w:cs="Arial"/>
          <w:b/>
          <w:sz w:val="20"/>
          <w:szCs w:val="20"/>
          <w:lang w:val="en-AU"/>
        </w:rPr>
      </w:pPr>
    </w:p>
    <w:p w14:paraId="03AF54E2" w14:textId="000196CD" w:rsidR="007231EB" w:rsidRPr="00AC27E8" w:rsidRDefault="0083790A" w:rsidP="00AC27E8">
      <w:pPr>
        <w:spacing w:before="0" w:after="0" w:line="240" w:lineRule="auto"/>
        <w:rPr>
          <w:rFonts w:ascii="Arial" w:hAnsi="Arial" w:cs="Arial"/>
          <w:b/>
          <w:sz w:val="20"/>
          <w:szCs w:val="20"/>
          <w:lang w:val="en-AU"/>
        </w:rPr>
      </w:pPr>
      <w:r w:rsidRPr="00AC27E8">
        <w:rPr>
          <w:rFonts w:ascii="Arial" w:hAnsi="Arial" w:cs="Arial"/>
          <w:b/>
          <w:sz w:val="20"/>
          <w:szCs w:val="20"/>
          <w:lang w:val="en-AU"/>
        </w:rPr>
        <w:t xml:space="preserve">Main findings </w:t>
      </w:r>
    </w:p>
    <w:p w14:paraId="4643A0A0" w14:textId="4A06C007" w:rsidR="00BD4965" w:rsidRPr="00AC27E8" w:rsidRDefault="00AC27E8" w:rsidP="00AC27E8">
      <w:pPr>
        <w:widowControl w:val="0"/>
        <w:autoSpaceDE w:val="0"/>
        <w:autoSpaceDN w:val="0"/>
        <w:adjustRightInd w:val="0"/>
        <w:spacing w:before="0" w:after="0" w:line="240" w:lineRule="auto"/>
        <w:rPr>
          <w:rFonts w:ascii="Arial" w:hAnsi="Arial" w:cs="Arial"/>
          <w:sz w:val="20"/>
          <w:szCs w:val="20"/>
        </w:rPr>
      </w:pPr>
      <w:r w:rsidRPr="00AC27E8">
        <w:rPr>
          <w:rFonts w:ascii="Arial" w:hAnsi="Arial" w:cs="Arial"/>
          <w:sz w:val="20"/>
          <w:szCs w:val="20"/>
        </w:rPr>
        <w:t>This session will help participants understand the importance of addressing these second-generation questions, drawing on practical examples from diverse sectors. It will cover types of second-generation questions, and how evidence users can draw on various types of evidence and reporting to address these questions. The session will also help producers of evidence understand the needs of decision-makers (including communities and clients) and the ways in which evidence can be created and communicated to answer second-generation questions.</w:t>
      </w:r>
    </w:p>
    <w:p w14:paraId="735A9499" w14:textId="658AA477" w:rsidR="00B12714" w:rsidRPr="00AC27E8" w:rsidRDefault="00B12714" w:rsidP="00AC27E8">
      <w:pPr>
        <w:spacing w:before="0" w:after="0" w:line="240" w:lineRule="auto"/>
        <w:rPr>
          <w:rFonts w:ascii="Arial" w:eastAsia="Times New Roman" w:hAnsi="Arial" w:cs="Arial"/>
          <w:b/>
          <w:sz w:val="20"/>
          <w:szCs w:val="20"/>
        </w:rPr>
      </w:pP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28314" w14:textId="77777777" w:rsidR="00DD19D8" w:rsidRDefault="00DD19D8" w:rsidP="003C4168">
      <w:pPr>
        <w:spacing w:after="0" w:line="240" w:lineRule="auto"/>
      </w:pPr>
      <w:r>
        <w:separator/>
      </w:r>
    </w:p>
  </w:endnote>
  <w:endnote w:type="continuationSeparator" w:id="0">
    <w:p w14:paraId="2BFC558F" w14:textId="77777777" w:rsidR="00DD19D8" w:rsidRDefault="00DD19D8"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195E8E31"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91D3D" w14:textId="77777777" w:rsidR="00DD19D8" w:rsidRDefault="00DD19D8" w:rsidP="003C4168">
      <w:pPr>
        <w:spacing w:after="0" w:line="240" w:lineRule="auto"/>
      </w:pPr>
      <w:r>
        <w:separator/>
      </w:r>
    </w:p>
  </w:footnote>
  <w:footnote w:type="continuationSeparator" w:id="0">
    <w:p w14:paraId="3F612F9C" w14:textId="77777777" w:rsidR="00DD19D8" w:rsidRDefault="00DD19D8"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23AB92C1"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4E5CB8"/>
    <w:multiLevelType w:val="hybridMultilevel"/>
    <w:tmpl w:val="89924A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1"/>
  </w:num>
  <w:num w:numId="4">
    <w:abstractNumId w:val="2"/>
  </w:num>
  <w:num w:numId="5">
    <w:abstractNumId w:val="9"/>
  </w:num>
  <w:num w:numId="6">
    <w:abstractNumId w:val="1"/>
  </w:num>
  <w:num w:numId="7">
    <w:abstractNumId w:val="3"/>
  </w:num>
  <w:num w:numId="8">
    <w:abstractNumId w:val="13"/>
  </w:num>
  <w:num w:numId="9">
    <w:abstractNumId w:val="5"/>
  </w:num>
  <w:num w:numId="10">
    <w:abstractNumId w:val="10"/>
  </w:num>
  <w:num w:numId="11">
    <w:abstractNumId w:val="12"/>
  </w:num>
  <w:num w:numId="12">
    <w:abstractNumId w:val="7"/>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5E33"/>
    <w:rsid w:val="001C47A0"/>
    <w:rsid w:val="001D4267"/>
    <w:rsid w:val="001E17A8"/>
    <w:rsid w:val="001E5424"/>
    <w:rsid w:val="00214C4D"/>
    <w:rsid w:val="00220CDB"/>
    <w:rsid w:val="00261EB4"/>
    <w:rsid w:val="00293AA4"/>
    <w:rsid w:val="002A0EAA"/>
    <w:rsid w:val="002B6643"/>
    <w:rsid w:val="002D17C6"/>
    <w:rsid w:val="002F07AC"/>
    <w:rsid w:val="00326479"/>
    <w:rsid w:val="00341541"/>
    <w:rsid w:val="00354666"/>
    <w:rsid w:val="003B4148"/>
    <w:rsid w:val="003B5C77"/>
    <w:rsid w:val="003C4168"/>
    <w:rsid w:val="003D0131"/>
    <w:rsid w:val="003D1F3B"/>
    <w:rsid w:val="003E60B5"/>
    <w:rsid w:val="004459E3"/>
    <w:rsid w:val="00453EEF"/>
    <w:rsid w:val="00457737"/>
    <w:rsid w:val="00464AFE"/>
    <w:rsid w:val="004846F6"/>
    <w:rsid w:val="004A3322"/>
    <w:rsid w:val="005138ED"/>
    <w:rsid w:val="005147E9"/>
    <w:rsid w:val="0053113C"/>
    <w:rsid w:val="005317FD"/>
    <w:rsid w:val="00547E04"/>
    <w:rsid w:val="00555EC7"/>
    <w:rsid w:val="00583790"/>
    <w:rsid w:val="00590E27"/>
    <w:rsid w:val="005A7E3A"/>
    <w:rsid w:val="005C0938"/>
    <w:rsid w:val="00600146"/>
    <w:rsid w:val="006040CD"/>
    <w:rsid w:val="0060416A"/>
    <w:rsid w:val="00610761"/>
    <w:rsid w:val="00635D4A"/>
    <w:rsid w:val="00635DAC"/>
    <w:rsid w:val="00643BF0"/>
    <w:rsid w:val="00646636"/>
    <w:rsid w:val="0068048C"/>
    <w:rsid w:val="00696A08"/>
    <w:rsid w:val="006A1D60"/>
    <w:rsid w:val="006A5A86"/>
    <w:rsid w:val="006D0974"/>
    <w:rsid w:val="00700D73"/>
    <w:rsid w:val="00704FB2"/>
    <w:rsid w:val="00711B13"/>
    <w:rsid w:val="0071789F"/>
    <w:rsid w:val="007231EB"/>
    <w:rsid w:val="0073151C"/>
    <w:rsid w:val="0076692A"/>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4C2"/>
    <w:rsid w:val="008B7B41"/>
    <w:rsid w:val="008C6637"/>
    <w:rsid w:val="008D4901"/>
    <w:rsid w:val="008E1D24"/>
    <w:rsid w:val="008E284C"/>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C27E8"/>
    <w:rsid w:val="00AE3205"/>
    <w:rsid w:val="00B07304"/>
    <w:rsid w:val="00B12714"/>
    <w:rsid w:val="00B2291E"/>
    <w:rsid w:val="00B22EA9"/>
    <w:rsid w:val="00B30929"/>
    <w:rsid w:val="00B57E24"/>
    <w:rsid w:val="00B6274B"/>
    <w:rsid w:val="00B853C1"/>
    <w:rsid w:val="00BA4BA8"/>
    <w:rsid w:val="00BD4965"/>
    <w:rsid w:val="00BF1BCC"/>
    <w:rsid w:val="00C3002F"/>
    <w:rsid w:val="00C31CC5"/>
    <w:rsid w:val="00C43AE6"/>
    <w:rsid w:val="00C64D55"/>
    <w:rsid w:val="00C73E39"/>
    <w:rsid w:val="00C74127"/>
    <w:rsid w:val="00C81CCB"/>
    <w:rsid w:val="00CB3EE5"/>
    <w:rsid w:val="00CB5B52"/>
    <w:rsid w:val="00CC10EE"/>
    <w:rsid w:val="00D573C9"/>
    <w:rsid w:val="00D61431"/>
    <w:rsid w:val="00D62C6E"/>
    <w:rsid w:val="00D65CB0"/>
    <w:rsid w:val="00D919DA"/>
    <w:rsid w:val="00DB4595"/>
    <w:rsid w:val="00DB5FC7"/>
    <w:rsid w:val="00DB60FB"/>
    <w:rsid w:val="00DC6C53"/>
    <w:rsid w:val="00DD19D8"/>
    <w:rsid w:val="00DD2247"/>
    <w:rsid w:val="00DF16CD"/>
    <w:rsid w:val="00E31423"/>
    <w:rsid w:val="00E316AC"/>
    <w:rsid w:val="00E46180"/>
    <w:rsid w:val="00E54665"/>
    <w:rsid w:val="00E8430C"/>
    <w:rsid w:val="00EB42BD"/>
    <w:rsid w:val="00EC134F"/>
    <w:rsid w:val="00EC263B"/>
    <w:rsid w:val="00F314EF"/>
    <w:rsid w:val="00F3744A"/>
    <w:rsid w:val="00F42A0F"/>
    <w:rsid w:val="00F517AA"/>
    <w:rsid w:val="00F54841"/>
    <w:rsid w:val="00F81016"/>
    <w:rsid w:val="00FB4F7E"/>
    <w:rsid w:val="00FC4D2A"/>
    <w:rsid w:val="00FD5DBF"/>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DBF"/>
    <w:pPr>
      <w:spacing w:before="40" w:after="120"/>
    </w:pPr>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2018-08-08T16:07:00Z</dcterms:created>
  <dcterms:modified xsi:type="dcterms:W3CDTF">2018-08-08T16:07:00Z</dcterms:modified>
</cp:coreProperties>
</file>