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E40" w:rsidRDefault="00653A77">
      <w:pPr>
        <w:spacing w:after="142" w:line="216" w:lineRule="auto"/>
        <w:ind w:left="0" w:hanging="1"/>
      </w:pPr>
      <w:r>
        <w:rPr>
          <w:rFonts w:ascii="Cambria" w:eastAsia="Cambria" w:hAnsi="Cambria" w:cs="Cambria"/>
          <w:sz w:val="22"/>
        </w:rPr>
        <w:t xml:space="preserve">  </w:t>
      </w:r>
    </w:p>
    <w:p w:rsidR="00DC44C0" w:rsidRDefault="00DC44C0">
      <w:pPr>
        <w:spacing w:after="62" w:line="259" w:lineRule="auto"/>
        <w:ind w:left="0" w:firstLine="0"/>
        <w:rPr>
          <w:rFonts w:ascii="Arial" w:eastAsia="Arial" w:hAnsi="Arial" w:cs="Arial"/>
          <w:sz w:val="22"/>
        </w:rPr>
      </w:pPr>
    </w:p>
    <w:p w:rsidR="00DC44C0" w:rsidRPr="00DC44C0" w:rsidRDefault="00DC44C0" w:rsidP="00DC44C0">
      <w:pPr>
        <w:spacing w:after="62" w:line="259" w:lineRule="auto"/>
        <w:ind w:left="0" w:firstLine="0"/>
        <w:rPr>
          <w:rFonts w:ascii="Arial" w:eastAsia="Arial" w:hAnsi="Arial" w:cs="Arial"/>
          <w:b/>
          <w:sz w:val="24"/>
        </w:rPr>
      </w:pPr>
      <w:bookmarkStart w:id="0" w:name="_GoBack"/>
      <w:bookmarkEnd w:id="0"/>
      <w:r w:rsidRPr="00DC44C0">
        <w:rPr>
          <w:rFonts w:ascii="Arial" w:eastAsia="Arial" w:hAnsi="Arial" w:cs="Arial"/>
          <w:b/>
          <w:sz w:val="24"/>
        </w:rPr>
        <w:t>PAPER NUMBER #297</w:t>
      </w:r>
    </w:p>
    <w:p w:rsidR="00751E40" w:rsidRPr="00DC44C0" w:rsidRDefault="00653A77" w:rsidP="00DC44C0">
      <w:pPr>
        <w:spacing w:after="62" w:line="259" w:lineRule="auto"/>
        <w:ind w:left="0" w:firstLine="0"/>
        <w:rPr>
          <w:rFonts w:ascii="Arial" w:eastAsia="Arial" w:hAnsi="Arial" w:cs="Arial"/>
          <w:b/>
          <w:sz w:val="24"/>
        </w:rPr>
      </w:pPr>
      <w:r w:rsidRPr="00DC44C0">
        <w:rPr>
          <w:rFonts w:ascii="Arial" w:hAnsi="Arial" w:cs="Arial"/>
          <w:b/>
          <w:sz w:val="22"/>
        </w:rPr>
        <w:t xml:space="preserve">The benefits of routine data collection in community health work – Findings from a Systematic Review </w:t>
      </w:r>
    </w:p>
    <w:p w:rsidR="00751E40" w:rsidRPr="00DC44C0" w:rsidRDefault="00653A77">
      <w:pPr>
        <w:spacing w:after="0" w:line="259" w:lineRule="auto"/>
        <w:ind w:left="0" w:firstLine="0"/>
        <w:rPr>
          <w:rFonts w:ascii="Arial" w:hAnsi="Arial" w:cs="Arial"/>
        </w:rPr>
      </w:pPr>
      <w:r w:rsidRPr="00DC44C0">
        <w:rPr>
          <w:rFonts w:ascii="Arial" w:hAnsi="Arial" w:cs="Arial"/>
          <w:b/>
        </w:rPr>
        <w:t xml:space="preserve"> </w:t>
      </w:r>
    </w:p>
    <w:p w:rsidR="00751E40" w:rsidRPr="00DC44C0" w:rsidRDefault="00653A77">
      <w:pPr>
        <w:spacing w:after="0" w:line="259" w:lineRule="auto"/>
        <w:ind w:left="-5"/>
        <w:rPr>
          <w:rFonts w:ascii="Arial" w:hAnsi="Arial" w:cs="Arial"/>
        </w:rPr>
      </w:pPr>
      <w:r w:rsidRPr="00DC44C0">
        <w:rPr>
          <w:rFonts w:ascii="Arial" w:hAnsi="Arial" w:cs="Arial"/>
          <w:b/>
        </w:rPr>
        <w:t>Presenting Author(s)*</w:t>
      </w:r>
      <w:r w:rsidRPr="00DC44C0">
        <w:rPr>
          <w:rFonts w:ascii="Arial" w:hAnsi="Arial" w:cs="Arial"/>
        </w:rPr>
        <w:t xml:space="preserve"> </w:t>
      </w:r>
    </w:p>
    <w:p w:rsidR="00751E40" w:rsidRPr="00DC44C0" w:rsidRDefault="00653A77">
      <w:pPr>
        <w:spacing w:after="38"/>
        <w:ind w:left="-5" w:right="62"/>
        <w:rPr>
          <w:rFonts w:ascii="Arial" w:hAnsi="Arial" w:cs="Arial"/>
        </w:rPr>
      </w:pPr>
      <w:r w:rsidRPr="00DC44C0">
        <w:rPr>
          <w:rFonts w:ascii="Arial" w:hAnsi="Arial" w:cs="Arial"/>
        </w:rPr>
        <w:t>Bianca Albers</w:t>
      </w:r>
      <w:r w:rsidRPr="00DC44C0">
        <w:rPr>
          <w:rFonts w:ascii="Arial" w:hAnsi="Arial" w:cs="Arial"/>
          <w:vertAlign w:val="superscript"/>
        </w:rPr>
        <w:t>1</w:t>
      </w:r>
      <w:r w:rsidRPr="00DC44C0">
        <w:rPr>
          <w:rFonts w:ascii="Arial" w:hAnsi="Arial" w:cs="Arial"/>
        </w:rPr>
        <w:t>; David Taylor</w:t>
      </w:r>
      <w:r w:rsidRPr="00DC44C0">
        <w:rPr>
          <w:rFonts w:ascii="Arial" w:hAnsi="Arial" w:cs="Arial"/>
          <w:vertAlign w:val="superscript"/>
        </w:rPr>
        <w:t>1</w:t>
      </w:r>
      <w:r w:rsidRPr="00DC44C0">
        <w:rPr>
          <w:rFonts w:ascii="Arial" w:hAnsi="Arial" w:cs="Arial"/>
        </w:rPr>
        <w:t xml:space="preserve">; </w:t>
      </w:r>
      <w:r w:rsidR="002A7D44">
        <w:rPr>
          <w:rFonts w:ascii="Arial" w:hAnsi="Arial" w:cs="Arial"/>
        </w:rPr>
        <w:t xml:space="preserve">and </w:t>
      </w:r>
      <w:r w:rsidRPr="00DC44C0">
        <w:rPr>
          <w:rFonts w:ascii="Arial" w:hAnsi="Arial" w:cs="Arial"/>
        </w:rPr>
        <w:t>Aron Shlonsky</w:t>
      </w:r>
      <w:r w:rsidRPr="00DC44C0">
        <w:rPr>
          <w:rFonts w:ascii="Arial" w:hAnsi="Arial" w:cs="Arial"/>
          <w:vertAlign w:val="superscript"/>
        </w:rPr>
        <w:t>2</w:t>
      </w:r>
      <w:r w:rsidRPr="00DC44C0">
        <w:rPr>
          <w:rFonts w:ascii="Arial" w:hAnsi="Arial" w:cs="Arial"/>
        </w:rPr>
        <w:t xml:space="preserve"> </w:t>
      </w:r>
    </w:p>
    <w:p w:rsidR="00751E40" w:rsidRPr="00DC44C0" w:rsidRDefault="00653A77">
      <w:pPr>
        <w:spacing w:after="0" w:line="259" w:lineRule="auto"/>
        <w:ind w:left="0" w:firstLine="0"/>
        <w:rPr>
          <w:rFonts w:ascii="Arial" w:hAnsi="Arial" w:cs="Arial"/>
        </w:rPr>
      </w:pPr>
      <w:r w:rsidRPr="00DC44C0">
        <w:rPr>
          <w:rFonts w:ascii="Arial" w:hAnsi="Arial" w:cs="Arial"/>
          <w:b/>
          <w:sz w:val="22"/>
        </w:rPr>
        <w:t xml:space="preserve"> </w:t>
      </w:r>
    </w:p>
    <w:p w:rsidR="00DC44C0" w:rsidRDefault="00653A77" w:rsidP="00DC44C0">
      <w:pPr>
        <w:spacing w:after="239"/>
        <w:ind w:left="-5" w:right="62"/>
        <w:rPr>
          <w:rFonts w:ascii="Arial" w:hAnsi="Arial" w:cs="Arial"/>
          <w:vertAlign w:val="superscript"/>
        </w:rPr>
      </w:pPr>
      <w:r w:rsidRPr="00DC44C0">
        <w:rPr>
          <w:rFonts w:ascii="Arial" w:hAnsi="Arial" w:cs="Arial"/>
          <w:b/>
        </w:rPr>
        <w:t xml:space="preserve">Affiliation </w:t>
      </w:r>
    </w:p>
    <w:p w:rsidR="00DC44C0" w:rsidRDefault="00653A77" w:rsidP="00DC44C0">
      <w:pPr>
        <w:pStyle w:val="ListParagraph"/>
        <w:numPr>
          <w:ilvl w:val="0"/>
          <w:numId w:val="3"/>
        </w:numPr>
        <w:spacing w:after="239"/>
        <w:ind w:right="62"/>
        <w:rPr>
          <w:rFonts w:ascii="Arial" w:hAnsi="Arial" w:cs="Arial"/>
        </w:rPr>
      </w:pPr>
      <w:r w:rsidRPr="00DC44C0">
        <w:rPr>
          <w:rFonts w:ascii="Arial" w:hAnsi="Arial" w:cs="Arial"/>
        </w:rPr>
        <w:t>Centre f</w:t>
      </w:r>
      <w:r w:rsidR="00DC44C0" w:rsidRPr="00DC44C0">
        <w:rPr>
          <w:rFonts w:ascii="Arial" w:hAnsi="Arial" w:cs="Arial"/>
        </w:rPr>
        <w:t>or Evidence and Implementation</w:t>
      </w:r>
    </w:p>
    <w:p w:rsidR="00751E40" w:rsidRPr="00DC44C0" w:rsidRDefault="00653A77" w:rsidP="00DC44C0">
      <w:pPr>
        <w:pStyle w:val="ListParagraph"/>
        <w:numPr>
          <w:ilvl w:val="0"/>
          <w:numId w:val="3"/>
        </w:numPr>
        <w:spacing w:after="239"/>
        <w:ind w:right="62"/>
        <w:rPr>
          <w:rFonts w:ascii="Arial" w:hAnsi="Arial" w:cs="Arial"/>
        </w:rPr>
      </w:pPr>
      <w:r w:rsidRPr="00DC44C0">
        <w:rPr>
          <w:rFonts w:ascii="Arial" w:hAnsi="Arial" w:cs="Arial"/>
        </w:rPr>
        <w:t xml:space="preserve">University of Melbourne, School of Health Sciences  </w:t>
      </w:r>
    </w:p>
    <w:p w:rsidR="00DC44C0" w:rsidRDefault="00653A77">
      <w:pPr>
        <w:spacing w:after="0" w:line="259" w:lineRule="auto"/>
        <w:ind w:left="-5"/>
        <w:rPr>
          <w:rFonts w:ascii="Arial" w:hAnsi="Arial" w:cs="Arial"/>
          <w:b/>
        </w:rPr>
      </w:pPr>
      <w:r w:rsidRPr="00DC44C0">
        <w:rPr>
          <w:rFonts w:ascii="Arial" w:hAnsi="Arial" w:cs="Arial"/>
          <w:b/>
        </w:rPr>
        <w:t xml:space="preserve">Country of residence </w:t>
      </w:r>
    </w:p>
    <w:p w:rsidR="00751E40" w:rsidRPr="00DC44C0" w:rsidRDefault="00DC44C0">
      <w:pPr>
        <w:spacing w:after="0" w:line="259" w:lineRule="auto"/>
        <w:ind w:left="-5"/>
        <w:rPr>
          <w:rFonts w:ascii="Arial" w:hAnsi="Arial" w:cs="Arial"/>
        </w:rPr>
      </w:pPr>
      <w:r>
        <w:rPr>
          <w:rFonts w:ascii="Arial" w:hAnsi="Arial" w:cs="Arial"/>
        </w:rPr>
        <w:t xml:space="preserve">Australia; </w:t>
      </w:r>
      <w:r w:rsidR="00653A77" w:rsidRPr="00DC44C0">
        <w:rPr>
          <w:rFonts w:ascii="Arial" w:hAnsi="Arial" w:cs="Arial"/>
        </w:rPr>
        <w:t xml:space="preserve">Germany </w:t>
      </w:r>
    </w:p>
    <w:p w:rsidR="00751E40" w:rsidRPr="00DC44C0" w:rsidRDefault="00653A77">
      <w:pPr>
        <w:spacing w:after="0" w:line="259" w:lineRule="auto"/>
        <w:ind w:left="0" w:firstLine="0"/>
        <w:rPr>
          <w:rFonts w:ascii="Arial" w:hAnsi="Arial" w:cs="Arial"/>
        </w:rPr>
      </w:pPr>
      <w:r w:rsidRPr="00DC44C0">
        <w:rPr>
          <w:rFonts w:ascii="Arial" w:hAnsi="Arial" w:cs="Arial"/>
          <w:b/>
        </w:rPr>
        <w:t xml:space="preserve"> </w:t>
      </w:r>
    </w:p>
    <w:p w:rsidR="00DC44C0" w:rsidRDefault="00653A77">
      <w:pPr>
        <w:ind w:left="-5" w:right="62"/>
        <w:rPr>
          <w:rFonts w:ascii="Arial" w:hAnsi="Arial" w:cs="Arial"/>
          <w:b/>
        </w:rPr>
      </w:pPr>
      <w:r w:rsidRPr="00DC44C0">
        <w:rPr>
          <w:rFonts w:ascii="Arial" w:hAnsi="Arial" w:cs="Arial"/>
          <w:b/>
        </w:rPr>
        <w:t xml:space="preserve">Objectives/aims </w:t>
      </w:r>
    </w:p>
    <w:p w:rsidR="00751E40" w:rsidRPr="00DC44C0" w:rsidRDefault="00653A77">
      <w:pPr>
        <w:ind w:left="-5" w:right="62"/>
        <w:rPr>
          <w:rFonts w:ascii="Arial" w:hAnsi="Arial" w:cs="Arial"/>
        </w:rPr>
      </w:pPr>
      <w:r w:rsidRPr="00DC44C0">
        <w:rPr>
          <w:rFonts w:ascii="Arial" w:hAnsi="Arial" w:cs="Arial"/>
        </w:rPr>
        <w:t xml:space="preserve">To inform the development of guidelines on health policy and system support to optimise community based health worker programmes, WHO commissioned multiple systematic reviews to synthesise current best evidence on requirements for pre-service training and ideal employment conditions for community health workers (CHWs). This included their payment, promotion, engagement, and case load. One of these systematic reviews examined whether it is of benefit if CHWs collect, collate, and use health data as part of their work. The findings from this review will be presented and implications for practice discussed.  </w:t>
      </w:r>
    </w:p>
    <w:p w:rsidR="00751E40" w:rsidRPr="00DC44C0" w:rsidRDefault="00653A77">
      <w:pPr>
        <w:spacing w:after="0" w:line="259" w:lineRule="auto"/>
        <w:ind w:left="0" w:firstLine="0"/>
        <w:rPr>
          <w:rFonts w:ascii="Arial" w:hAnsi="Arial" w:cs="Arial"/>
        </w:rPr>
      </w:pPr>
      <w:r w:rsidRPr="00DC44C0">
        <w:rPr>
          <w:rFonts w:ascii="Arial" w:hAnsi="Arial" w:cs="Arial"/>
        </w:rPr>
        <w:t xml:space="preserve"> </w:t>
      </w:r>
    </w:p>
    <w:p w:rsidR="00DC44C0" w:rsidRDefault="00653A77">
      <w:pPr>
        <w:ind w:left="-5" w:right="62"/>
        <w:rPr>
          <w:rFonts w:ascii="Arial" w:hAnsi="Arial" w:cs="Arial"/>
          <w:b/>
        </w:rPr>
      </w:pPr>
      <w:r w:rsidRPr="00DC44C0">
        <w:rPr>
          <w:rFonts w:ascii="Arial" w:hAnsi="Arial" w:cs="Arial"/>
          <w:b/>
        </w:rPr>
        <w:t xml:space="preserve">Methods </w:t>
      </w:r>
    </w:p>
    <w:p w:rsidR="00751E40" w:rsidRPr="00DC44C0" w:rsidRDefault="00653A77">
      <w:pPr>
        <w:ind w:left="-5" w:right="62"/>
        <w:rPr>
          <w:rFonts w:ascii="Arial" w:hAnsi="Arial" w:cs="Arial"/>
        </w:rPr>
      </w:pPr>
      <w:r w:rsidRPr="00DC44C0">
        <w:rPr>
          <w:rFonts w:ascii="Arial" w:hAnsi="Arial" w:cs="Arial"/>
        </w:rPr>
        <w:t xml:space="preserve">The systematic review method was applied. Literature was searched and screened in May/June 2017. Studies' risk of bias was assessed using the Cochrane Risk of Bias tool for randomised controlled trials and quasi-experimental studies. For case-control, cohort and cross-sectional studies, the Newcastle-Ottawa scale was employed. PICO-relevant outcomes were assessed using the GRADE methodology. The process of data extraction and analysis was guided by a CHW outcomes framework proposed by </w:t>
      </w:r>
      <w:proofErr w:type="spellStart"/>
      <w:r w:rsidRPr="00DC44C0">
        <w:rPr>
          <w:rFonts w:ascii="Arial" w:hAnsi="Arial" w:cs="Arial"/>
        </w:rPr>
        <w:t>Naimoli</w:t>
      </w:r>
      <w:proofErr w:type="spellEnd"/>
      <w:r w:rsidRPr="00DC44C0">
        <w:rPr>
          <w:rFonts w:ascii="Arial" w:hAnsi="Arial" w:cs="Arial"/>
        </w:rPr>
        <w:t xml:space="preserve"> et al. (2014). </w:t>
      </w:r>
      <w:r w:rsidRPr="00DC44C0">
        <w:rPr>
          <w:rFonts w:ascii="Arial" w:hAnsi="Arial" w:cs="Arial"/>
          <w:b/>
        </w:rPr>
        <w:t xml:space="preserve"> </w:t>
      </w:r>
    </w:p>
    <w:p w:rsidR="00751E40" w:rsidRPr="00DC44C0" w:rsidRDefault="00653A77">
      <w:pPr>
        <w:spacing w:after="0" w:line="259" w:lineRule="auto"/>
        <w:ind w:left="0" w:firstLine="0"/>
        <w:rPr>
          <w:rFonts w:ascii="Arial" w:hAnsi="Arial" w:cs="Arial"/>
        </w:rPr>
      </w:pPr>
      <w:r w:rsidRPr="00DC44C0">
        <w:rPr>
          <w:rFonts w:ascii="Arial" w:hAnsi="Arial" w:cs="Arial"/>
        </w:rPr>
        <w:t xml:space="preserve"> </w:t>
      </w:r>
    </w:p>
    <w:p w:rsidR="00DC44C0" w:rsidRDefault="00653A77">
      <w:pPr>
        <w:ind w:left="-5" w:right="62"/>
        <w:rPr>
          <w:rFonts w:ascii="Arial" w:hAnsi="Arial" w:cs="Arial"/>
          <w:b/>
        </w:rPr>
      </w:pPr>
      <w:r w:rsidRPr="00DC44C0">
        <w:rPr>
          <w:rFonts w:ascii="Arial" w:hAnsi="Arial" w:cs="Arial"/>
          <w:b/>
        </w:rPr>
        <w:t>Main findings</w:t>
      </w:r>
    </w:p>
    <w:p w:rsidR="00751E40" w:rsidRPr="00DC44C0" w:rsidRDefault="00653A77">
      <w:pPr>
        <w:ind w:left="-5" w:right="62"/>
        <w:rPr>
          <w:rFonts w:ascii="Arial" w:hAnsi="Arial" w:cs="Arial"/>
        </w:rPr>
      </w:pPr>
      <w:r w:rsidRPr="00DC44C0">
        <w:rPr>
          <w:rFonts w:ascii="Arial" w:hAnsi="Arial" w:cs="Arial"/>
        </w:rPr>
        <w:t>Fourteen (n=14) studies met the inclusion criteria for data extraction, only three of which used a rigorous, randomised design. The majority of studies was conducted in low- and middle-income countries. Findings from studies point to potential community health service benefits – across a broad range of outputs and outcomes – associated with data collection</w:t>
      </w:r>
      <w:r w:rsidRPr="00DC44C0">
        <w:rPr>
          <w:rFonts w:ascii="Arial" w:hAnsi="Arial" w:cs="Arial"/>
          <w:sz w:val="29"/>
        </w:rPr>
        <w:t xml:space="preserve"> </w:t>
      </w:r>
      <w:r w:rsidRPr="00DC44C0">
        <w:rPr>
          <w:rFonts w:ascii="Arial" w:hAnsi="Arial" w:cs="Arial"/>
        </w:rPr>
        <w:t>processes. However, this evidence base is in its infancy still. In particular, evidence on</w:t>
      </w:r>
      <w:r w:rsidRPr="00DC44C0">
        <w:rPr>
          <w:rFonts w:ascii="Arial" w:hAnsi="Arial" w:cs="Arial"/>
          <w:sz w:val="29"/>
        </w:rPr>
        <w:t xml:space="preserve"> </w:t>
      </w:r>
      <w:r w:rsidRPr="00DC44C0">
        <w:rPr>
          <w:rFonts w:ascii="Arial" w:hAnsi="Arial" w:cs="Arial"/>
        </w:rPr>
        <w:t xml:space="preserve">how data collection processes impact recipients of community health services is limited.  </w:t>
      </w:r>
    </w:p>
    <w:p w:rsidR="00751E40" w:rsidRDefault="00653A77" w:rsidP="00DC44C0">
      <w:pPr>
        <w:spacing w:after="3845" w:line="259" w:lineRule="auto"/>
        <w:ind w:left="0" w:firstLine="0"/>
      </w:pPr>
      <w:r>
        <w:rPr>
          <w:rFonts w:ascii="Arial" w:eastAsia="Arial" w:hAnsi="Arial" w:cs="Arial"/>
        </w:rPr>
        <w:t xml:space="preserve"> </w:t>
      </w:r>
      <w:r>
        <w:rPr>
          <w:rFonts w:ascii="Arial" w:eastAsia="Arial" w:hAnsi="Arial" w:cs="Arial"/>
        </w:rPr>
        <w:tab/>
        <w:t xml:space="preserve"> </w:t>
      </w:r>
    </w:p>
    <w:sectPr w:rsidR="00751E40">
      <w:pgSz w:w="11905" w:h="16840"/>
      <w:pgMar w:top="708" w:right="1382" w:bottom="1440" w:left="144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3FF" w:rsidRDefault="00EC73FF" w:rsidP="00DC44C0">
      <w:pPr>
        <w:spacing w:after="0" w:line="240" w:lineRule="auto"/>
      </w:pPr>
      <w:r>
        <w:separator/>
      </w:r>
    </w:p>
  </w:endnote>
  <w:endnote w:type="continuationSeparator" w:id="0">
    <w:p w:rsidR="00EC73FF" w:rsidRDefault="00EC73FF" w:rsidP="00DC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3FF" w:rsidRDefault="00EC73FF" w:rsidP="00DC44C0">
      <w:pPr>
        <w:spacing w:after="0" w:line="240" w:lineRule="auto"/>
      </w:pPr>
      <w:r>
        <w:separator/>
      </w:r>
    </w:p>
  </w:footnote>
  <w:footnote w:type="continuationSeparator" w:id="0">
    <w:p w:rsidR="00EC73FF" w:rsidRDefault="00EC73FF" w:rsidP="00DC4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12709"/>
    <w:multiLevelType w:val="hybridMultilevel"/>
    <w:tmpl w:val="81507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3775FD"/>
    <w:multiLevelType w:val="hybridMultilevel"/>
    <w:tmpl w:val="55B0C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513690"/>
    <w:multiLevelType w:val="hybridMultilevel"/>
    <w:tmpl w:val="24A2BF40"/>
    <w:lvl w:ilvl="0" w:tplc="39EC6B6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40"/>
    <w:rsid w:val="002A7D44"/>
    <w:rsid w:val="00653A77"/>
    <w:rsid w:val="00751E40"/>
    <w:rsid w:val="00DC44C0"/>
    <w:rsid w:val="00EC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C0945"/>
  <w15:docId w15:val="{1A2B73EA-C242-4380-AE0C-EA540255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right="56"/>
      <w:jc w:val="center"/>
      <w:outlineLvl w:val="0"/>
    </w:pPr>
    <w:rPr>
      <w:rFonts w:ascii="Arial" w:eastAsia="Arial" w:hAnsi="Arial" w:cs="Arial"/>
      <w:b/>
      <w:color w:val="7F7F7F"/>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7F7F7F"/>
      <w:sz w:val="38"/>
    </w:rPr>
  </w:style>
  <w:style w:type="paragraph" w:styleId="ListParagraph">
    <w:name w:val="List Paragraph"/>
    <w:basedOn w:val="Normal"/>
    <w:uiPriority w:val="34"/>
    <w:qFormat/>
    <w:rsid w:val="00DC44C0"/>
    <w:pPr>
      <w:ind w:left="720"/>
      <w:contextualSpacing/>
    </w:pPr>
  </w:style>
  <w:style w:type="paragraph" w:styleId="Header">
    <w:name w:val="header"/>
    <w:basedOn w:val="Normal"/>
    <w:link w:val="HeaderChar"/>
    <w:uiPriority w:val="99"/>
    <w:unhideWhenUsed/>
    <w:rsid w:val="00DC4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4C0"/>
    <w:rPr>
      <w:rFonts w:ascii="Calibri" w:eastAsia="Calibri" w:hAnsi="Calibri" w:cs="Calibri"/>
      <w:color w:val="000000"/>
      <w:sz w:val="20"/>
    </w:rPr>
  </w:style>
  <w:style w:type="paragraph" w:styleId="Footer">
    <w:name w:val="footer"/>
    <w:basedOn w:val="Normal"/>
    <w:link w:val="FooterChar"/>
    <w:uiPriority w:val="99"/>
    <w:unhideWhenUsed/>
    <w:rsid w:val="00DC4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4C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RCH</dc:creator>
  <cp:keywords/>
  <cp:lastModifiedBy>Maddison Bourke</cp:lastModifiedBy>
  <cp:revision>2</cp:revision>
  <dcterms:created xsi:type="dcterms:W3CDTF">2018-08-08T19:28:00Z</dcterms:created>
  <dcterms:modified xsi:type="dcterms:W3CDTF">2018-08-08T19:28:00Z</dcterms:modified>
</cp:coreProperties>
</file>