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8B5" w:rsidRPr="00001B6B" w:rsidRDefault="00ED28B5" w:rsidP="00A30ADE">
      <w:pPr>
        <w:rPr>
          <w:rFonts w:ascii="Arial" w:hAnsi="Arial" w:cs="Arial"/>
          <w:b/>
          <w:sz w:val="24"/>
          <w:szCs w:val="20"/>
        </w:rPr>
      </w:pPr>
      <w:bookmarkStart w:id="0" w:name="OLE_LINK7"/>
      <w:r w:rsidRPr="00001B6B">
        <w:rPr>
          <w:rFonts w:ascii="Arial" w:hAnsi="Arial" w:cs="Arial"/>
          <w:b/>
          <w:sz w:val="24"/>
          <w:szCs w:val="20"/>
        </w:rPr>
        <w:t>Paper number #324</w:t>
      </w:r>
    </w:p>
    <w:p w:rsidR="00A30ADE" w:rsidRPr="00001B6B" w:rsidRDefault="00A30ADE" w:rsidP="00A30ADE">
      <w:pPr>
        <w:rPr>
          <w:rFonts w:ascii="Arial" w:hAnsi="Arial" w:cs="Arial"/>
          <w:b/>
          <w:sz w:val="22"/>
          <w:szCs w:val="20"/>
        </w:rPr>
      </w:pPr>
      <w:r w:rsidRPr="00001B6B">
        <w:rPr>
          <w:rFonts w:ascii="Arial" w:hAnsi="Arial" w:cs="Arial"/>
          <w:b/>
          <w:sz w:val="22"/>
          <w:szCs w:val="20"/>
        </w:rPr>
        <w:t>The effectiveness of different routes of catheterization in patients after gynecologic surgery: A systematic review and meta-analysis of randomized controlled trials</w:t>
      </w:r>
    </w:p>
    <w:bookmarkEnd w:id="0"/>
    <w:p w:rsidR="00A30ADE" w:rsidRPr="00001B6B" w:rsidRDefault="00A30ADE" w:rsidP="00A30ADE">
      <w:pPr>
        <w:rPr>
          <w:rFonts w:ascii="Arial" w:hAnsi="Arial" w:cs="Arial"/>
          <w:b/>
          <w:sz w:val="20"/>
          <w:szCs w:val="20"/>
        </w:rPr>
      </w:pPr>
    </w:p>
    <w:p w:rsidR="00001B6B" w:rsidRPr="00001B6B" w:rsidRDefault="00001B6B" w:rsidP="00A30ADE">
      <w:pPr>
        <w:rPr>
          <w:rFonts w:ascii="Arial" w:hAnsi="Arial" w:cs="Arial"/>
          <w:b/>
          <w:sz w:val="20"/>
          <w:szCs w:val="20"/>
        </w:rPr>
      </w:pPr>
      <w:r w:rsidRPr="00001B6B">
        <w:rPr>
          <w:rFonts w:ascii="Arial" w:hAnsi="Arial" w:cs="Arial"/>
          <w:b/>
          <w:sz w:val="20"/>
          <w:szCs w:val="20"/>
        </w:rPr>
        <w:t>Presenting Authors</w:t>
      </w:r>
    </w:p>
    <w:p w:rsidR="00A30ADE" w:rsidRPr="00001B6B" w:rsidRDefault="00A30ADE" w:rsidP="00A30ADE">
      <w:pPr>
        <w:rPr>
          <w:rFonts w:ascii="Arial" w:hAnsi="Arial" w:cs="Arial"/>
          <w:sz w:val="20"/>
          <w:szCs w:val="20"/>
        </w:rPr>
      </w:pPr>
      <w:proofErr w:type="spellStart"/>
      <w:r w:rsidRPr="00001B6B">
        <w:rPr>
          <w:rFonts w:ascii="Arial" w:hAnsi="Arial" w:cs="Arial"/>
          <w:sz w:val="20"/>
          <w:szCs w:val="20"/>
        </w:rPr>
        <w:t>Meixuan</w:t>
      </w:r>
      <w:proofErr w:type="spellEnd"/>
      <w:r w:rsidRPr="00001B6B">
        <w:rPr>
          <w:rFonts w:ascii="Arial" w:hAnsi="Arial" w:cs="Arial"/>
          <w:sz w:val="20"/>
          <w:szCs w:val="20"/>
        </w:rPr>
        <w:t xml:space="preserve"> Li</w:t>
      </w:r>
      <w:r w:rsidRPr="00001B6B">
        <w:rPr>
          <w:rFonts w:ascii="Arial" w:hAnsi="Arial" w:cs="Arial"/>
          <w:sz w:val="20"/>
          <w:szCs w:val="20"/>
          <w:vertAlign w:val="superscript"/>
        </w:rPr>
        <w:t>1,2,3</w:t>
      </w:r>
      <w:r w:rsidRPr="00001B6B">
        <w:rPr>
          <w:rFonts w:ascii="Arial" w:hAnsi="Arial" w:cs="Arial"/>
          <w:sz w:val="20"/>
          <w:szCs w:val="20"/>
        </w:rPr>
        <w:t xml:space="preserve"> Liang Yao</w:t>
      </w:r>
      <w:r w:rsidRPr="00001B6B">
        <w:rPr>
          <w:rFonts w:ascii="Arial" w:hAnsi="Arial" w:cs="Arial"/>
          <w:sz w:val="20"/>
          <w:szCs w:val="20"/>
          <w:vertAlign w:val="superscript"/>
        </w:rPr>
        <w:t xml:space="preserve">3,4 </w:t>
      </w:r>
      <w:proofErr w:type="spellStart"/>
      <w:r w:rsidRPr="00001B6B">
        <w:rPr>
          <w:rFonts w:ascii="Arial" w:hAnsi="Arial" w:cs="Arial"/>
          <w:sz w:val="20"/>
          <w:szCs w:val="20"/>
        </w:rPr>
        <w:t>Peijing</w:t>
      </w:r>
      <w:proofErr w:type="spellEnd"/>
      <w:r w:rsidRPr="00001B6B">
        <w:rPr>
          <w:rFonts w:ascii="Arial" w:hAnsi="Arial" w:cs="Arial"/>
          <w:sz w:val="20"/>
          <w:szCs w:val="20"/>
        </w:rPr>
        <w:t xml:space="preserve"> Yan</w:t>
      </w:r>
      <w:r w:rsidRPr="00001B6B">
        <w:rPr>
          <w:rFonts w:ascii="Arial" w:hAnsi="Arial" w:cs="Arial"/>
          <w:sz w:val="20"/>
          <w:szCs w:val="20"/>
          <w:vertAlign w:val="superscript"/>
        </w:rPr>
        <w:t>5</w:t>
      </w:r>
      <w:r w:rsidRPr="00001B6B">
        <w:rPr>
          <w:rFonts w:ascii="Arial" w:hAnsi="Arial" w:cs="Arial"/>
          <w:sz w:val="20"/>
          <w:szCs w:val="20"/>
        </w:rPr>
        <w:t xml:space="preserve"> </w:t>
      </w:r>
      <w:proofErr w:type="spellStart"/>
      <w:r w:rsidRPr="00001B6B">
        <w:rPr>
          <w:rFonts w:ascii="Arial" w:hAnsi="Arial" w:cs="Arial"/>
          <w:sz w:val="20"/>
          <w:szCs w:val="20"/>
        </w:rPr>
        <w:t>Huijuan</w:t>
      </w:r>
      <w:proofErr w:type="spellEnd"/>
      <w:r w:rsidRPr="00001B6B">
        <w:rPr>
          <w:rFonts w:ascii="Arial" w:hAnsi="Arial" w:cs="Arial"/>
          <w:sz w:val="20"/>
          <w:szCs w:val="20"/>
        </w:rPr>
        <w:t xml:space="preserve"> Li</w:t>
      </w:r>
      <w:r w:rsidRPr="00001B6B">
        <w:rPr>
          <w:rFonts w:ascii="Arial" w:hAnsi="Arial" w:cs="Arial"/>
          <w:sz w:val="20"/>
          <w:szCs w:val="20"/>
          <w:vertAlign w:val="superscript"/>
        </w:rPr>
        <w:t>1,2,3</w:t>
      </w:r>
      <w:r w:rsidRPr="00001B6B">
        <w:rPr>
          <w:rFonts w:ascii="Arial" w:hAnsi="Arial" w:cs="Arial"/>
          <w:sz w:val="20"/>
          <w:szCs w:val="20"/>
        </w:rPr>
        <w:t xml:space="preserve"> </w:t>
      </w:r>
      <w:proofErr w:type="spellStart"/>
      <w:r w:rsidRPr="00001B6B">
        <w:rPr>
          <w:rFonts w:ascii="Arial" w:hAnsi="Arial" w:cs="Arial"/>
          <w:sz w:val="20"/>
          <w:szCs w:val="20"/>
        </w:rPr>
        <w:t>Yangqin</w:t>
      </w:r>
      <w:proofErr w:type="spellEnd"/>
      <w:r w:rsidRPr="00001B6B">
        <w:rPr>
          <w:rFonts w:ascii="Arial" w:hAnsi="Arial" w:cs="Arial"/>
          <w:sz w:val="20"/>
          <w:szCs w:val="20"/>
        </w:rPr>
        <w:t xml:space="preserve"> Xun</w:t>
      </w:r>
      <w:r w:rsidRPr="00001B6B">
        <w:rPr>
          <w:rFonts w:ascii="Arial" w:hAnsi="Arial" w:cs="Arial"/>
          <w:sz w:val="20"/>
          <w:szCs w:val="20"/>
          <w:vertAlign w:val="superscript"/>
        </w:rPr>
        <w:t>1,2,3</w:t>
      </w:r>
      <w:r w:rsidRPr="00001B6B">
        <w:rPr>
          <w:rFonts w:ascii="Arial" w:hAnsi="Arial" w:cs="Arial"/>
          <w:sz w:val="20"/>
          <w:szCs w:val="20"/>
        </w:rPr>
        <w:t xml:space="preserve"> </w:t>
      </w:r>
      <w:proofErr w:type="spellStart"/>
      <w:r w:rsidRPr="00001B6B">
        <w:rPr>
          <w:rFonts w:ascii="Arial" w:hAnsi="Arial" w:cs="Arial"/>
          <w:sz w:val="20"/>
          <w:szCs w:val="20"/>
        </w:rPr>
        <w:t>Caiwen</w:t>
      </w:r>
      <w:proofErr w:type="spellEnd"/>
      <w:r w:rsidRPr="00001B6B">
        <w:rPr>
          <w:rFonts w:ascii="Arial" w:hAnsi="Arial" w:cs="Arial"/>
          <w:sz w:val="20"/>
          <w:szCs w:val="20"/>
        </w:rPr>
        <w:t xml:space="preserve"> Han</w:t>
      </w:r>
      <w:r w:rsidRPr="00001B6B">
        <w:rPr>
          <w:rFonts w:ascii="Arial" w:hAnsi="Arial" w:cs="Arial"/>
          <w:sz w:val="20"/>
          <w:szCs w:val="20"/>
          <w:vertAlign w:val="superscript"/>
        </w:rPr>
        <w:t>5,6,7</w:t>
      </w:r>
      <w:r w:rsidRPr="00001B6B">
        <w:rPr>
          <w:rFonts w:ascii="Arial" w:hAnsi="Arial" w:cs="Arial"/>
          <w:sz w:val="20"/>
          <w:szCs w:val="20"/>
        </w:rPr>
        <w:t xml:space="preserve"> </w:t>
      </w:r>
      <w:proofErr w:type="spellStart"/>
      <w:r w:rsidRPr="00001B6B">
        <w:rPr>
          <w:rFonts w:ascii="Arial" w:hAnsi="Arial" w:cs="Arial"/>
          <w:sz w:val="20"/>
          <w:szCs w:val="20"/>
        </w:rPr>
        <w:t>Cuncun</w:t>
      </w:r>
      <w:proofErr w:type="spellEnd"/>
      <w:r w:rsidRPr="00001B6B">
        <w:rPr>
          <w:rFonts w:ascii="Arial" w:hAnsi="Arial" w:cs="Arial"/>
          <w:sz w:val="20"/>
          <w:szCs w:val="20"/>
        </w:rPr>
        <w:t xml:space="preserve"> Lu</w:t>
      </w:r>
      <w:r w:rsidRPr="00001B6B">
        <w:rPr>
          <w:rFonts w:ascii="Arial" w:hAnsi="Arial" w:cs="Arial"/>
          <w:sz w:val="20"/>
          <w:szCs w:val="20"/>
          <w:vertAlign w:val="superscript"/>
        </w:rPr>
        <w:t>2,3</w:t>
      </w:r>
      <w:r w:rsidRPr="00001B6B">
        <w:rPr>
          <w:rFonts w:ascii="Arial" w:hAnsi="Arial" w:cs="Arial"/>
          <w:sz w:val="20"/>
          <w:szCs w:val="20"/>
        </w:rPr>
        <w:t xml:space="preserve"> </w:t>
      </w:r>
      <w:proofErr w:type="spellStart"/>
      <w:r w:rsidRPr="00001B6B">
        <w:rPr>
          <w:rFonts w:ascii="Arial" w:hAnsi="Arial" w:cs="Arial"/>
          <w:sz w:val="20"/>
          <w:szCs w:val="20"/>
        </w:rPr>
        <w:t>Kehu</w:t>
      </w:r>
      <w:proofErr w:type="spellEnd"/>
      <w:r w:rsidRPr="00001B6B">
        <w:rPr>
          <w:rFonts w:ascii="Arial" w:hAnsi="Arial" w:cs="Arial"/>
          <w:sz w:val="20"/>
          <w:szCs w:val="20"/>
        </w:rPr>
        <w:t xml:space="preserve"> Yang</w:t>
      </w:r>
      <w:r w:rsidRPr="00001B6B">
        <w:rPr>
          <w:rFonts w:ascii="Arial" w:hAnsi="Arial" w:cs="Arial"/>
          <w:sz w:val="20"/>
          <w:szCs w:val="20"/>
          <w:vertAlign w:val="superscript"/>
        </w:rPr>
        <w:t>1,2,3*</w:t>
      </w:r>
      <w:r w:rsidRPr="00001B6B">
        <w:rPr>
          <w:rFonts w:ascii="Arial" w:hAnsi="Arial" w:cs="Arial"/>
          <w:sz w:val="20"/>
          <w:szCs w:val="20"/>
        </w:rPr>
        <w:t xml:space="preserve"> </w:t>
      </w:r>
    </w:p>
    <w:p w:rsidR="00A30ADE" w:rsidRPr="00001B6B" w:rsidRDefault="00A30ADE" w:rsidP="00A30ADE">
      <w:pPr>
        <w:rPr>
          <w:rFonts w:ascii="Arial" w:hAnsi="Arial" w:cs="Arial"/>
          <w:sz w:val="20"/>
          <w:szCs w:val="20"/>
        </w:rPr>
      </w:pPr>
    </w:p>
    <w:p w:rsidR="00001B6B" w:rsidRPr="00001B6B" w:rsidRDefault="00001B6B" w:rsidP="00A30ADE">
      <w:pPr>
        <w:rPr>
          <w:rFonts w:ascii="Arial" w:hAnsi="Arial" w:cs="Arial"/>
          <w:b/>
          <w:sz w:val="20"/>
          <w:szCs w:val="20"/>
        </w:rPr>
      </w:pPr>
      <w:r w:rsidRPr="00001B6B">
        <w:rPr>
          <w:rFonts w:ascii="Arial" w:hAnsi="Arial" w:cs="Arial"/>
          <w:b/>
          <w:sz w:val="20"/>
          <w:szCs w:val="20"/>
        </w:rPr>
        <w:t xml:space="preserve">Affiliations </w:t>
      </w:r>
    </w:p>
    <w:p w:rsidR="00A30ADE" w:rsidRPr="00001B6B" w:rsidRDefault="00A30ADE" w:rsidP="00001B6B">
      <w:pPr>
        <w:pStyle w:val="ListParagraph"/>
        <w:numPr>
          <w:ilvl w:val="0"/>
          <w:numId w:val="2"/>
        </w:numPr>
        <w:rPr>
          <w:rFonts w:ascii="Arial" w:hAnsi="Arial" w:cs="Arial"/>
          <w:sz w:val="20"/>
          <w:szCs w:val="20"/>
        </w:rPr>
      </w:pPr>
      <w:r w:rsidRPr="00001B6B">
        <w:rPr>
          <w:rFonts w:ascii="Arial" w:hAnsi="Arial" w:cs="Arial"/>
          <w:sz w:val="20"/>
          <w:szCs w:val="20"/>
        </w:rPr>
        <w:t xml:space="preserve">Evidence based social science research </w:t>
      </w:r>
      <w:proofErr w:type="spellStart"/>
      <w:proofErr w:type="gramStart"/>
      <w:r w:rsidRPr="00001B6B">
        <w:rPr>
          <w:rFonts w:ascii="Arial" w:hAnsi="Arial" w:cs="Arial"/>
          <w:sz w:val="20"/>
          <w:szCs w:val="20"/>
        </w:rPr>
        <w:t>center,School</w:t>
      </w:r>
      <w:proofErr w:type="spellEnd"/>
      <w:proofErr w:type="gramEnd"/>
      <w:r w:rsidRPr="00001B6B">
        <w:rPr>
          <w:rFonts w:ascii="Arial" w:hAnsi="Arial" w:cs="Arial"/>
          <w:sz w:val="20"/>
          <w:szCs w:val="20"/>
        </w:rPr>
        <w:t xml:space="preserve"> of Public Healt</w:t>
      </w:r>
      <w:r w:rsidR="00001B6B" w:rsidRPr="00001B6B">
        <w:rPr>
          <w:rFonts w:ascii="Arial" w:hAnsi="Arial" w:cs="Arial"/>
          <w:sz w:val="20"/>
          <w:szCs w:val="20"/>
        </w:rPr>
        <w:t>h, Lanzhou University, Lanzhou</w:t>
      </w:r>
      <w:r w:rsidRPr="00001B6B">
        <w:rPr>
          <w:rFonts w:ascii="Arial" w:hAnsi="Arial" w:cs="Arial"/>
          <w:sz w:val="20"/>
          <w:szCs w:val="20"/>
        </w:rPr>
        <w:t xml:space="preserve">, </w:t>
      </w:r>
      <w:proofErr w:type="spellStart"/>
      <w:r w:rsidRPr="00001B6B">
        <w:rPr>
          <w:rFonts w:ascii="Arial" w:hAnsi="Arial" w:cs="Arial"/>
          <w:sz w:val="20"/>
          <w:szCs w:val="20"/>
        </w:rPr>
        <w:t>P.R.China</w:t>
      </w:r>
      <w:proofErr w:type="spellEnd"/>
    </w:p>
    <w:p w:rsidR="00A30ADE" w:rsidRPr="00001B6B" w:rsidRDefault="00A30ADE" w:rsidP="00001B6B">
      <w:pPr>
        <w:pStyle w:val="ListParagraph"/>
        <w:numPr>
          <w:ilvl w:val="0"/>
          <w:numId w:val="2"/>
        </w:numPr>
        <w:rPr>
          <w:rFonts w:ascii="Arial" w:hAnsi="Arial" w:cs="Arial"/>
          <w:sz w:val="20"/>
          <w:szCs w:val="20"/>
        </w:rPr>
      </w:pPr>
      <w:r w:rsidRPr="00001B6B">
        <w:rPr>
          <w:rFonts w:ascii="Arial" w:hAnsi="Arial" w:cs="Arial"/>
          <w:sz w:val="20"/>
          <w:szCs w:val="20"/>
        </w:rPr>
        <w:t>Evidence Based Medicine Cente</w:t>
      </w:r>
      <w:r w:rsidR="00001B6B" w:rsidRPr="00001B6B">
        <w:rPr>
          <w:rFonts w:ascii="Arial" w:hAnsi="Arial" w:cs="Arial"/>
          <w:sz w:val="20"/>
          <w:szCs w:val="20"/>
        </w:rPr>
        <w:t>r, Lanzhou University, Lanzhou</w:t>
      </w:r>
      <w:r w:rsidRPr="00001B6B">
        <w:rPr>
          <w:rFonts w:ascii="Arial" w:hAnsi="Arial" w:cs="Arial"/>
          <w:sz w:val="20"/>
          <w:szCs w:val="20"/>
        </w:rPr>
        <w:t xml:space="preserve">, </w:t>
      </w:r>
      <w:proofErr w:type="spellStart"/>
      <w:r w:rsidRPr="00001B6B">
        <w:rPr>
          <w:rFonts w:ascii="Arial" w:hAnsi="Arial" w:cs="Arial"/>
          <w:sz w:val="20"/>
          <w:szCs w:val="20"/>
        </w:rPr>
        <w:t>P.</w:t>
      </w:r>
      <w:proofErr w:type="gramStart"/>
      <w:r w:rsidRPr="00001B6B">
        <w:rPr>
          <w:rFonts w:ascii="Arial" w:hAnsi="Arial" w:cs="Arial"/>
          <w:sz w:val="20"/>
          <w:szCs w:val="20"/>
        </w:rPr>
        <w:t>R.China</w:t>
      </w:r>
      <w:proofErr w:type="spellEnd"/>
      <w:proofErr w:type="gramEnd"/>
    </w:p>
    <w:p w:rsidR="00A30ADE" w:rsidRPr="00001B6B" w:rsidRDefault="00A30ADE" w:rsidP="00001B6B">
      <w:pPr>
        <w:pStyle w:val="ListParagraph"/>
        <w:numPr>
          <w:ilvl w:val="0"/>
          <w:numId w:val="2"/>
        </w:numPr>
        <w:rPr>
          <w:rFonts w:ascii="Arial" w:hAnsi="Arial" w:cs="Arial"/>
          <w:sz w:val="20"/>
          <w:szCs w:val="20"/>
        </w:rPr>
      </w:pPr>
      <w:r w:rsidRPr="00001B6B">
        <w:rPr>
          <w:rFonts w:ascii="Arial" w:hAnsi="Arial" w:cs="Arial"/>
          <w:sz w:val="20"/>
          <w:szCs w:val="20"/>
        </w:rPr>
        <w:t>Key Laboratory of Evidence Based Medicine and Knowledge Translat</w:t>
      </w:r>
      <w:r w:rsidR="00001B6B" w:rsidRPr="00001B6B">
        <w:rPr>
          <w:rFonts w:ascii="Arial" w:hAnsi="Arial" w:cs="Arial"/>
          <w:sz w:val="20"/>
          <w:szCs w:val="20"/>
        </w:rPr>
        <w:t>ion of Gansu Province, Lanzhou</w:t>
      </w:r>
      <w:r w:rsidRPr="00001B6B">
        <w:rPr>
          <w:rFonts w:ascii="Arial" w:hAnsi="Arial" w:cs="Arial"/>
          <w:sz w:val="20"/>
          <w:szCs w:val="20"/>
        </w:rPr>
        <w:t xml:space="preserve">, </w:t>
      </w:r>
      <w:proofErr w:type="spellStart"/>
      <w:r w:rsidRPr="00001B6B">
        <w:rPr>
          <w:rFonts w:ascii="Arial" w:hAnsi="Arial" w:cs="Arial"/>
          <w:sz w:val="20"/>
          <w:szCs w:val="20"/>
        </w:rPr>
        <w:t>P.</w:t>
      </w:r>
      <w:proofErr w:type="gramStart"/>
      <w:r w:rsidRPr="00001B6B">
        <w:rPr>
          <w:rFonts w:ascii="Arial" w:hAnsi="Arial" w:cs="Arial"/>
          <w:sz w:val="20"/>
          <w:szCs w:val="20"/>
        </w:rPr>
        <w:t>R.China</w:t>
      </w:r>
      <w:proofErr w:type="spellEnd"/>
      <w:proofErr w:type="gramEnd"/>
    </w:p>
    <w:p w:rsidR="00A30ADE" w:rsidRPr="00001B6B" w:rsidRDefault="00A30ADE" w:rsidP="00001B6B">
      <w:pPr>
        <w:pStyle w:val="ListParagraph"/>
        <w:numPr>
          <w:ilvl w:val="0"/>
          <w:numId w:val="2"/>
        </w:numPr>
        <w:rPr>
          <w:rFonts w:ascii="Arial" w:hAnsi="Arial" w:cs="Arial"/>
          <w:sz w:val="20"/>
          <w:szCs w:val="20"/>
        </w:rPr>
      </w:pPr>
      <w:r w:rsidRPr="00001B6B">
        <w:rPr>
          <w:rFonts w:ascii="Arial" w:hAnsi="Arial" w:cs="Arial"/>
          <w:sz w:val="20"/>
          <w:szCs w:val="20"/>
        </w:rPr>
        <w:t>Chinese Medicine Faculty of Hong Kong Baptist University, No. 7 of Baptist Road</w:t>
      </w:r>
      <w:r w:rsidRPr="00001B6B">
        <w:rPr>
          <w:rFonts w:ascii="Arial" w:hAnsi="Arial" w:cs="Arial"/>
          <w:sz w:val="20"/>
          <w:szCs w:val="20"/>
        </w:rPr>
        <w:t>，</w:t>
      </w:r>
      <w:r w:rsidR="00001B6B" w:rsidRPr="00001B6B">
        <w:rPr>
          <w:rFonts w:ascii="Arial" w:hAnsi="Arial" w:cs="Arial"/>
          <w:sz w:val="20"/>
          <w:szCs w:val="20"/>
        </w:rPr>
        <w:t xml:space="preserve"> Kowloon Tong, Hong Kong</w:t>
      </w:r>
      <w:r w:rsidRPr="00001B6B">
        <w:rPr>
          <w:rFonts w:ascii="Arial" w:hAnsi="Arial" w:cs="Arial"/>
          <w:sz w:val="20"/>
          <w:szCs w:val="20"/>
        </w:rPr>
        <w:t xml:space="preserve">, </w:t>
      </w:r>
      <w:proofErr w:type="spellStart"/>
      <w:r w:rsidRPr="00001B6B">
        <w:rPr>
          <w:rFonts w:ascii="Arial" w:hAnsi="Arial" w:cs="Arial"/>
          <w:sz w:val="20"/>
          <w:szCs w:val="20"/>
        </w:rPr>
        <w:t>P.</w:t>
      </w:r>
      <w:proofErr w:type="gramStart"/>
      <w:r w:rsidRPr="00001B6B">
        <w:rPr>
          <w:rFonts w:ascii="Arial" w:hAnsi="Arial" w:cs="Arial"/>
          <w:sz w:val="20"/>
          <w:szCs w:val="20"/>
        </w:rPr>
        <w:t>R.China</w:t>
      </w:r>
      <w:proofErr w:type="spellEnd"/>
      <w:proofErr w:type="gramEnd"/>
    </w:p>
    <w:p w:rsidR="00A30ADE" w:rsidRPr="00001B6B" w:rsidRDefault="00A30ADE" w:rsidP="00001B6B">
      <w:pPr>
        <w:pStyle w:val="ListParagraph"/>
        <w:numPr>
          <w:ilvl w:val="0"/>
          <w:numId w:val="2"/>
        </w:numPr>
        <w:rPr>
          <w:rFonts w:ascii="Arial" w:hAnsi="Arial" w:cs="Arial"/>
          <w:sz w:val="20"/>
          <w:szCs w:val="20"/>
        </w:rPr>
      </w:pPr>
      <w:r w:rsidRPr="00001B6B">
        <w:rPr>
          <w:rFonts w:ascii="Arial" w:hAnsi="Arial" w:cs="Arial"/>
          <w:sz w:val="20"/>
          <w:szCs w:val="20"/>
        </w:rPr>
        <w:t>Institution of Clinical Research and Evidence Based Medicine, The Gans</w:t>
      </w:r>
      <w:r w:rsidR="00001B6B" w:rsidRPr="00001B6B">
        <w:rPr>
          <w:rFonts w:ascii="Arial" w:hAnsi="Arial" w:cs="Arial"/>
          <w:sz w:val="20"/>
          <w:szCs w:val="20"/>
        </w:rPr>
        <w:t>u Provincial Hospital, Lanzhou</w:t>
      </w:r>
      <w:r w:rsidRPr="00001B6B">
        <w:rPr>
          <w:rFonts w:ascii="Arial" w:hAnsi="Arial" w:cs="Arial"/>
          <w:sz w:val="20"/>
          <w:szCs w:val="20"/>
        </w:rPr>
        <w:t xml:space="preserve">, </w:t>
      </w:r>
      <w:proofErr w:type="spellStart"/>
      <w:r w:rsidRPr="00001B6B">
        <w:rPr>
          <w:rFonts w:ascii="Arial" w:hAnsi="Arial" w:cs="Arial"/>
          <w:sz w:val="20"/>
          <w:szCs w:val="20"/>
        </w:rPr>
        <w:t>P.</w:t>
      </w:r>
      <w:proofErr w:type="gramStart"/>
      <w:r w:rsidRPr="00001B6B">
        <w:rPr>
          <w:rFonts w:ascii="Arial" w:hAnsi="Arial" w:cs="Arial"/>
          <w:sz w:val="20"/>
          <w:szCs w:val="20"/>
        </w:rPr>
        <w:t>R.China</w:t>
      </w:r>
      <w:proofErr w:type="spellEnd"/>
      <w:proofErr w:type="gramEnd"/>
    </w:p>
    <w:p w:rsidR="00A30ADE" w:rsidRPr="00001B6B" w:rsidRDefault="00A30ADE" w:rsidP="00001B6B">
      <w:pPr>
        <w:pStyle w:val="ListParagraph"/>
        <w:numPr>
          <w:ilvl w:val="0"/>
          <w:numId w:val="2"/>
        </w:numPr>
        <w:rPr>
          <w:rFonts w:ascii="Arial" w:hAnsi="Arial" w:cs="Arial"/>
          <w:sz w:val="20"/>
          <w:szCs w:val="20"/>
        </w:rPr>
      </w:pPr>
      <w:r w:rsidRPr="00001B6B">
        <w:rPr>
          <w:rFonts w:ascii="Arial" w:hAnsi="Arial" w:cs="Arial"/>
          <w:sz w:val="20"/>
          <w:szCs w:val="20"/>
        </w:rPr>
        <w:t>Department of General Surgery, Gans</w:t>
      </w:r>
      <w:r w:rsidR="00001B6B" w:rsidRPr="00001B6B">
        <w:rPr>
          <w:rFonts w:ascii="Arial" w:hAnsi="Arial" w:cs="Arial"/>
          <w:sz w:val="20"/>
          <w:szCs w:val="20"/>
        </w:rPr>
        <w:t>u Provincial Hospital, Lanzhou</w:t>
      </w:r>
      <w:r w:rsidRPr="00001B6B">
        <w:rPr>
          <w:rFonts w:ascii="Arial" w:hAnsi="Arial" w:cs="Arial"/>
          <w:sz w:val="20"/>
          <w:szCs w:val="20"/>
        </w:rPr>
        <w:t xml:space="preserve">, </w:t>
      </w:r>
      <w:proofErr w:type="spellStart"/>
      <w:r w:rsidRPr="00001B6B">
        <w:rPr>
          <w:rFonts w:ascii="Arial" w:hAnsi="Arial" w:cs="Arial"/>
          <w:sz w:val="20"/>
          <w:szCs w:val="20"/>
        </w:rPr>
        <w:t>P.</w:t>
      </w:r>
      <w:proofErr w:type="gramStart"/>
      <w:r w:rsidRPr="00001B6B">
        <w:rPr>
          <w:rFonts w:ascii="Arial" w:hAnsi="Arial" w:cs="Arial"/>
          <w:sz w:val="20"/>
          <w:szCs w:val="20"/>
        </w:rPr>
        <w:t>R.China</w:t>
      </w:r>
      <w:proofErr w:type="spellEnd"/>
      <w:proofErr w:type="gramEnd"/>
    </w:p>
    <w:p w:rsidR="00A30ADE" w:rsidRPr="00001B6B" w:rsidRDefault="00A30ADE" w:rsidP="00001B6B">
      <w:pPr>
        <w:pStyle w:val="ListParagraph"/>
        <w:numPr>
          <w:ilvl w:val="0"/>
          <w:numId w:val="2"/>
        </w:numPr>
        <w:rPr>
          <w:rFonts w:ascii="Arial" w:hAnsi="Arial" w:cs="Arial"/>
          <w:sz w:val="20"/>
          <w:szCs w:val="20"/>
        </w:rPr>
      </w:pPr>
      <w:r w:rsidRPr="00001B6B">
        <w:rPr>
          <w:rFonts w:ascii="Arial" w:hAnsi="Arial" w:cs="Arial"/>
          <w:sz w:val="20"/>
          <w:szCs w:val="20"/>
        </w:rPr>
        <w:t>Department of Clinical Medicine, Gansu University of Traditi</w:t>
      </w:r>
      <w:r w:rsidR="00001B6B" w:rsidRPr="00001B6B">
        <w:rPr>
          <w:rFonts w:ascii="Arial" w:hAnsi="Arial" w:cs="Arial"/>
          <w:sz w:val="20"/>
          <w:szCs w:val="20"/>
        </w:rPr>
        <w:t>onal Chinese Medicine, Lanzhou</w:t>
      </w:r>
      <w:r w:rsidRPr="00001B6B">
        <w:rPr>
          <w:rFonts w:ascii="Arial" w:hAnsi="Arial" w:cs="Arial"/>
          <w:sz w:val="20"/>
          <w:szCs w:val="20"/>
        </w:rPr>
        <w:t xml:space="preserve">, </w:t>
      </w:r>
      <w:proofErr w:type="spellStart"/>
      <w:r w:rsidRPr="00001B6B">
        <w:rPr>
          <w:rFonts w:ascii="Arial" w:hAnsi="Arial" w:cs="Arial"/>
          <w:sz w:val="20"/>
          <w:szCs w:val="20"/>
        </w:rPr>
        <w:t>P.</w:t>
      </w:r>
      <w:proofErr w:type="gramStart"/>
      <w:r w:rsidRPr="00001B6B">
        <w:rPr>
          <w:rFonts w:ascii="Arial" w:hAnsi="Arial" w:cs="Arial"/>
          <w:sz w:val="20"/>
          <w:szCs w:val="20"/>
        </w:rPr>
        <w:t>R.China</w:t>
      </w:r>
      <w:proofErr w:type="spellEnd"/>
      <w:proofErr w:type="gramEnd"/>
    </w:p>
    <w:p w:rsidR="00A30ADE" w:rsidRPr="00001B6B" w:rsidRDefault="00A30ADE" w:rsidP="00A30ADE">
      <w:pPr>
        <w:rPr>
          <w:rFonts w:ascii="Arial" w:hAnsi="Arial" w:cs="Arial"/>
          <w:sz w:val="20"/>
          <w:szCs w:val="20"/>
        </w:rPr>
      </w:pPr>
    </w:p>
    <w:p w:rsidR="00001B6B" w:rsidRPr="00001B6B" w:rsidRDefault="00001B6B" w:rsidP="00A30ADE">
      <w:pPr>
        <w:rPr>
          <w:rFonts w:ascii="Arial" w:hAnsi="Arial" w:cs="Arial"/>
          <w:b/>
          <w:sz w:val="20"/>
          <w:szCs w:val="20"/>
        </w:rPr>
      </w:pPr>
      <w:r w:rsidRPr="00001B6B">
        <w:rPr>
          <w:rFonts w:ascii="Arial" w:hAnsi="Arial" w:cs="Arial"/>
          <w:b/>
          <w:sz w:val="20"/>
          <w:szCs w:val="20"/>
        </w:rPr>
        <w:t>Objective/Ai</w:t>
      </w:r>
      <w:bookmarkStart w:id="1" w:name="_GoBack"/>
      <w:bookmarkEnd w:id="1"/>
      <w:r w:rsidRPr="00001B6B">
        <w:rPr>
          <w:rFonts w:ascii="Arial" w:hAnsi="Arial" w:cs="Arial"/>
          <w:b/>
          <w:sz w:val="20"/>
          <w:szCs w:val="20"/>
        </w:rPr>
        <w:t>m</w:t>
      </w:r>
    </w:p>
    <w:p w:rsidR="00A30ADE" w:rsidRPr="00001B6B" w:rsidRDefault="00A30ADE" w:rsidP="00A30ADE">
      <w:pPr>
        <w:rPr>
          <w:rFonts w:ascii="Arial" w:hAnsi="Arial" w:cs="Arial"/>
          <w:b/>
          <w:sz w:val="20"/>
          <w:szCs w:val="20"/>
        </w:rPr>
      </w:pPr>
      <w:r w:rsidRPr="00001B6B">
        <w:rPr>
          <w:rFonts w:ascii="Arial" w:hAnsi="Arial" w:cs="Arial"/>
          <w:sz w:val="20"/>
          <w:szCs w:val="20"/>
        </w:rPr>
        <w:t>Urinary retention is a common complication after surgical procedures that involve the bladder, it may cause bladder atony, detrusor instability and voiding difficulties. Management of postoperative urinary retention usually centered on primary prevention with bladder drainage. The commonly used routes for bladder drainage in gynecologic patients are indwelling urinary catheterization, suprapubic catheterization and intermittent catheterization.</w:t>
      </w:r>
      <w:r w:rsidR="00001B6B" w:rsidRPr="00001B6B">
        <w:rPr>
          <w:rFonts w:ascii="Arial" w:hAnsi="Arial" w:cs="Arial"/>
          <w:b/>
          <w:sz w:val="20"/>
          <w:szCs w:val="20"/>
        </w:rPr>
        <w:t xml:space="preserve"> </w:t>
      </w:r>
      <w:r w:rsidRPr="00001B6B">
        <w:rPr>
          <w:rFonts w:ascii="Arial" w:hAnsi="Arial" w:cs="Arial"/>
          <w:sz w:val="20"/>
          <w:szCs w:val="20"/>
        </w:rPr>
        <w:t xml:space="preserve">We aim to assess the effectiveness of different drainage routes of catheterization (urethral (indwelling or intermittent) or suprapubic) in patients after gynecologic surgery. </w:t>
      </w:r>
    </w:p>
    <w:p w:rsidR="00001B6B" w:rsidRPr="00001B6B" w:rsidRDefault="00001B6B" w:rsidP="00A30ADE">
      <w:pPr>
        <w:rPr>
          <w:rFonts w:ascii="Arial" w:hAnsi="Arial" w:cs="Arial"/>
          <w:b/>
          <w:sz w:val="20"/>
          <w:szCs w:val="20"/>
        </w:rPr>
      </w:pPr>
    </w:p>
    <w:p w:rsidR="00001B6B" w:rsidRPr="00001B6B" w:rsidRDefault="00001B6B" w:rsidP="00A30ADE">
      <w:pPr>
        <w:rPr>
          <w:rFonts w:ascii="Arial" w:hAnsi="Arial" w:cs="Arial"/>
          <w:b/>
          <w:sz w:val="20"/>
          <w:szCs w:val="20"/>
        </w:rPr>
      </w:pPr>
      <w:r w:rsidRPr="00001B6B">
        <w:rPr>
          <w:rFonts w:ascii="Arial" w:hAnsi="Arial" w:cs="Arial"/>
          <w:b/>
          <w:sz w:val="20"/>
          <w:szCs w:val="20"/>
        </w:rPr>
        <w:t>Methods</w:t>
      </w:r>
    </w:p>
    <w:p w:rsidR="00A30ADE" w:rsidRPr="00001B6B" w:rsidRDefault="00A30ADE" w:rsidP="00A30ADE">
      <w:pPr>
        <w:rPr>
          <w:rFonts w:ascii="Arial" w:hAnsi="Arial" w:cs="Arial"/>
          <w:sz w:val="20"/>
          <w:szCs w:val="20"/>
        </w:rPr>
      </w:pPr>
      <w:r w:rsidRPr="00001B6B">
        <w:rPr>
          <w:rFonts w:ascii="Arial" w:hAnsi="Arial" w:cs="Arial"/>
          <w:sz w:val="20"/>
          <w:szCs w:val="20"/>
        </w:rPr>
        <w:t xml:space="preserve">PubMed, EMBASE and Cochrane Library were systematically researched from their inception to March 2018. We selected randomized controlled trials, comparing any two drainage routes in patients after gynecologic surgery. A meta-analysis was performed using the RevMan software, and a random-effects model was used to pool the effect size. The GRADE approach was used to rate the quality of evidence. </w:t>
      </w:r>
    </w:p>
    <w:p w:rsidR="00001B6B" w:rsidRPr="00001B6B" w:rsidRDefault="00001B6B" w:rsidP="00A30ADE">
      <w:pPr>
        <w:rPr>
          <w:rFonts w:ascii="Arial" w:hAnsi="Arial" w:cs="Arial"/>
          <w:b/>
          <w:sz w:val="20"/>
          <w:szCs w:val="20"/>
        </w:rPr>
      </w:pPr>
    </w:p>
    <w:p w:rsidR="00001B6B" w:rsidRPr="00001B6B" w:rsidRDefault="00001B6B" w:rsidP="00A30ADE">
      <w:pPr>
        <w:rPr>
          <w:rFonts w:ascii="Arial" w:hAnsi="Arial" w:cs="Arial"/>
          <w:b/>
          <w:sz w:val="20"/>
          <w:szCs w:val="20"/>
        </w:rPr>
      </w:pPr>
      <w:r w:rsidRPr="00001B6B">
        <w:rPr>
          <w:rFonts w:ascii="Arial" w:hAnsi="Arial" w:cs="Arial"/>
          <w:b/>
          <w:sz w:val="20"/>
          <w:szCs w:val="20"/>
        </w:rPr>
        <w:t>Main findings</w:t>
      </w:r>
    </w:p>
    <w:p w:rsidR="00A30ADE" w:rsidRPr="00001B6B" w:rsidRDefault="00A30ADE" w:rsidP="00A30ADE">
      <w:pPr>
        <w:rPr>
          <w:rFonts w:ascii="Arial" w:hAnsi="Arial" w:cs="Arial"/>
          <w:sz w:val="20"/>
          <w:szCs w:val="20"/>
        </w:rPr>
      </w:pPr>
      <w:r w:rsidRPr="00001B6B">
        <w:rPr>
          <w:rFonts w:ascii="Arial" w:hAnsi="Arial" w:cs="Arial"/>
          <w:sz w:val="20"/>
          <w:szCs w:val="20"/>
        </w:rPr>
        <w:t xml:space="preserve">20 RCTs met eligibility criteria (N=2295), 9 trials compared indwelling urethral catheterization with suprapubic catheterization, 4 trials compared intermittent catheterization with suprapubic catheterization, 7 trials compared indwelling urethral catheterization with intermittent catheterization. Suprapubic drainage was associated with a reduction in the urinary tract infection (RR 0.46, 95% CI: 0.30–0.70, </w:t>
      </w:r>
      <w:r w:rsidRPr="00001B6B">
        <w:rPr>
          <w:rFonts w:ascii="Arial" w:hAnsi="Arial" w:cs="Arial"/>
          <w:i/>
          <w:sz w:val="20"/>
          <w:szCs w:val="20"/>
        </w:rPr>
        <w:t>P</w:t>
      </w:r>
      <w:r w:rsidRPr="00001B6B">
        <w:rPr>
          <w:rFonts w:ascii="Arial" w:hAnsi="Arial" w:cs="Arial"/>
          <w:sz w:val="20"/>
          <w:szCs w:val="20"/>
        </w:rPr>
        <w:t xml:space="preserve">=0.0004) and rate of </w:t>
      </w:r>
      <w:proofErr w:type="spellStart"/>
      <w:r w:rsidRPr="00001B6B">
        <w:rPr>
          <w:rFonts w:ascii="Arial" w:hAnsi="Arial" w:cs="Arial"/>
          <w:sz w:val="20"/>
          <w:szCs w:val="20"/>
        </w:rPr>
        <w:t>recatheterization</w:t>
      </w:r>
      <w:proofErr w:type="spellEnd"/>
      <w:r w:rsidRPr="00001B6B">
        <w:rPr>
          <w:rFonts w:ascii="Arial" w:hAnsi="Arial" w:cs="Arial"/>
          <w:sz w:val="20"/>
          <w:szCs w:val="20"/>
        </w:rPr>
        <w:t xml:space="preserve"> (RR=2.95, 95% CI: 1.22–7.11, </w:t>
      </w:r>
      <w:r w:rsidRPr="00001B6B">
        <w:rPr>
          <w:rFonts w:ascii="Arial" w:hAnsi="Arial" w:cs="Arial"/>
          <w:i/>
          <w:sz w:val="20"/>
          <w:szCs w:val="20"/>
        </w:rPr>
        <w:t>P</w:t>
      </w:r>
      <w:r w:rsidRPr="00001B6B">
        <w:rPr>
          <w:rFonts w:ascii="Arial" w:hAnsi="Arial" w:cs="Arial"/>
          <w:sz w:val="20"/>
          <w:szCs w:val="20"/>
        </w:rPr>
        <w:t xml:space="preserve">=0.02) compared with indwelling urinary catheterization. Intermittent catheterization could reduce symptomatic urinary </w:t>
      </w:r>
      <w:r w:rsidRPr="00001B6B">
        <w:rPr>
          <w:rFonts w:ascii="Arial" w:hAnsi="Arial" w:cs="Arial"/>
          <w:sz w:val="20"/>
          <w:szCs w:val="20"/>
        </w:rPr>
        <w:lastRenderedPageBreak/>
        <w:t xml:space="preserve">tract infection compared with the suprapubic (RR=2.33, 95% CI: 1.23–4.43, </w:t>
      </w:r>
      <w:r w:rsidRPr="00001B6B">
        <w:rPr>
          <w:rFonts w:ascii="Arial" w:hAnsi="Arial" w:cs="Arial"/>
          <w:i/>
          <w:sz w:val="20"/>
          <w:szCs w:val="20"/>
        </w:rPr>
        <w:t>P</w:t>
      </w:r>
      <w:r w:rsidRPr="00001B6B">
        <w:rPr>
          <w:rFonts w:ascii="Arial" w:hAnsi="Arial" w:cs="Arial"/>
          <w:sz w:val="20"/>
          <w:szCs w:val="20"/>
        </w:rPr>
        <w:t xml:space="preserve">=0.01) and indwelling catheterization group (RR=2.79, 95% CI: 1.09–7.14, </w:t>
      </w:r>
      <w:r w:rsidRPr="00001B6B">
        <w:rPr>
          <w:rFonts w:ascii="Arial" w:hAnsi="Arial" w:cs="Arial"/>
          <w:i/>
          <w:sz w:val="20"/>
          <w:szCs w:val="20"/>
        </w:rPr>
        <w:t>P</w:t>
      </w:r>
      <w:r w:rsidRPr="00001B6B">
        <w:rPr>
          <w:rFonts w:ascii="Arial" w:hAnsi="Arial" w:cs="Arial"/>
          <w:sz w:val="20"/>
          <w:szCs w:val="20"/>
        </w:rPr>
        <w:t>=0.03). There was no difference in other aspects (duration of catheterization, hospital stay, complication rate and catheter-related pain) among the three drainage routes.</w:t>
      </w:r>
    </w:p>
    <w:p w:rsidR="00C74EBC" w:rsidRPr="00001B6B" w:rsidRDefault="00A30ADE">
      <w:pPr>
        <w:rPr>
          <w:rFonts w:ascii="Arial" w:hAnsi="Arial" w:cs="Arial"/>
          <w:sz w:val="20"/>
          <w:szCs w:val="20"/>
        </w:rPr>
      </w:pPr>
      <w:r w:rsidRPr="00001B6B">
        <w:rPr>
          <w:rFonts w:ascii="Arial" w:hAnsi="Arial" w:cs="Arial"/>
          <w:sz w:val="20"/>
          <w:szCs w:val="20"/>
        </w:rPr>
        <w:t>Conclusions</w:t>
      </w:r>
      <w:r w:rsidRPr="00001B6B">
        <w:rPr>
          <w:rFonts w:ascii="Arial" w:hAnsi="Arial" w:cs="Arial"/>
          <w:b/>
          <w:sz w:val="20"/>
          <w:szCs w:val="20"/>
        </w:rPr>
        <w:t>:</w:t>
      </w:r>
      <w:r w:rsidRPr="00001B6B">
        <w:rPr>
          <w:rFonts w:ascii="Arial" w:hAnsi="Arial" w:cs="Arial"/>
          <w:sz w:val="20"/>
          <w:szCs w:val="20"/>
        </w:rPr>
        <w:t xml:space="preserve"> This review suggests that suprapubic drainage and intermittent catheterization may be more superior than indwelling urethral catheterization in reduction of urinary tract infection and rate of </w:t>
      </w:r>
      <w:proofErr w:type="spellStart"/>
      <w:r w:rsidRPr="00001B6B">
        <w:rPr>
          <w:rFonts w:ascii="Arial" w:hAnsi="Arial" w:cs="Arial"/>
          <w:sz w:val="20"/>
          <w:szCs w:val="20"/>
        </w:rPr>
        <w:t>recatheterization</w:t>
      </w:r>
      <w:proofErr w:type="spellEnd"/>
      <w:r w:rsidRPr="00001B6B">
        <w:rPr>
          <w:rFonts w:ascii="Arial" w:hAnsi="Arial" w:cs="Arial"/>
          <w:sz w:val="20"/>
          <w:szCs w:val="20"/>
        </w:rPr>
        <w:t xml:space="preserve">. Further high-quality, more randomized trials are needed to determine which route is most appropriate for catheterization. </w:t>
      </w:r>
    </w:p>
    <w:sectPr w:rsidR="00C74EBC" w:rsidRPr="00001B6B" w:rsidSect="00001B6B">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6A86"/>
    <w:multiLevelType w:val="hybridMultilevel"/>
    <w:tmpl w:val="B5749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E1CAF"/>
    <w:multiLevelType w:val="hybridMultilevel"/>
    <w:tmpl w:val="BB3CA180"/>
    <w:lvl w:ilvl="0" w:tplc="02CA69A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DE"/>
    <w:rsid w:val="00001B6B"/>
    <w:rsid w:val="00A30ADE"/>
    <w:rsid w:val="00C74EBC"/>
    <w:rsid w:val="00ED2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4D7E"/>
  <w15:docId w15:val="{7937E777-280D-41DA-8A2D-78BB2A44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AD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Maddison Bourke</cp:lastModifiedBy>
  <cp:revision>2</cp:revision>
  <dcterms:created xsi:type="dcterms:W3CDTF">2018-08-07T15:17:00Z</dcterms:created>
  <dcterms:modified xsi:type="dcterms:W3CDTF">2018-08-07T15:17:00Z</dcterms:modified>
</cp:coreProperties>
</file>