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D09" w:rsidRDefault="00435D09" w:rsidP="001A6DD0">
      <w:pPr>
        <w:ind w:left="-284"/>
        <w:rPr>
          <w:rFonts w:ascii="Times New Roman" w:hAnsi="Times New Roman" w:cs="Times New Roman"/>
          <w:b/>
          <w:sz w:val="24"/>
          <w:szCs w:val="24"/>
        </w:rPr>
      </w:pPr>
    </w:p>
    <w:p w:rsidR="00435D09" w:rsidRPr="00435D09" w:rsidRDefault="00435D09" w:rsidP="00B248C2">
      <w:pPr>
        <w:rPr>
          <w:rFonts w:ascii="Arial" w:hAnsi="Arial" w:cs="Arial"/>
          <w:b/>
          <w:sz w:val="24"/>
          <w:szCs w:val="20"/>
        </w:rPr>
      </w:pPr>
      <w:r w:rsidRPr="00435D09">
        <w:rPr>
          <w:rFonts w:ascii="Arial" w:hAnsi="Arial" w:cs="Arial"/>
          <w:b/>
          <w:sz w:val="24"/>
          <w:szCs w:val="20"/>
        </w:rPr>
        <w:t>PAPER NUMBER #376</w:t>
      </w:r>
    </w:p>
    <w:p w:rsidR="00B248C2" w:rsidRPr="00435D09" w:rsidRDefault="00B248C2" w:rsidP="00B248C2">
      <w:pPr>
        <w:rPr>
          <w:rFonts w:ascii="Arial" w:hAnsi="Arial" w:cs="Arial"/>
          <w:b/>
          <w:sz w:val="22"/>
          <w:szCs w:val="20"/>
        </w:rPr>
      </w:pPr>
      <w:r w:rsidRPr="00435D09">
        <w:rPr>
          <w:rFonts w:ascii="Arial" w:hAnsi="Arial" w:cs="Arial"/>
          <w:b/>
          <w:sz w:val="22"/>
          <w:szCs w:val="20"/>
        </w:rPr>
        <w:t>Reporting Characteristics of Health Policy Briefs in HSE and WHO Databases</w:t>
      </w:r>
    </w:p>
    <w:p w:rsidR="00B248C2" w:rsidRPr="00435D09" w:rsidRDefault="00B248C2" w:rsidP="00B248C2">
      <w:pPr>
        <w:rPr>
          <w:rFonts w:ascii="Arial" w:hAnsi="Arial" w:cs="Arial"/>
          <w:sz w:val="20"/>
          <w:szCs w:val="20"/>
        </w:rPr>
      </w:pPr>
    </w:p>
    <w:p w:rsidR="00B248C2" w:rsidRPr="00435D09" w:rsidRDefault="00435D09" w:rsidP="00B248C2">
      <w:pPr>
        <w:rPr>
          <w:rFonts w:ascii="Arial" w:hAnsi="Arial" w:cs="Arial"/>
          <w:b/>
          <w:sz w:val="20"/>
          <w:szCs w:val="20"/>
        </w:rPr>
      </w:pPr>
      <w:r w:rsidRPr="00435D09">
        <w:rPr>
          <w:rFonts w:ascii="Arial" w:hAnsi="Arial" w:cs="Arial"/>
          <w:b/>
          <w:sz w:val="20"/>
          <w:szCs w:val="20"/>
        </w:rPr>
        <w:t>Presenting Authors</w:t>
      </w:r>
    </w:p>
    <w:p w:rsidR="00B248C2" w:rsidRPr="00435D09" w:rsidRDefault="00B248C2" w:rsidP="00435D09">
      <w:pPr>
        <w:jc w:val="left"/>
        <w:rPr>
          <w:rFonts w:ascii="Arial" w:hAnsi="Arial" w:cs="Arial"/>
          <w:sz w:val="20"/>
          <w:szCs w:val="20"/>
        </w:rPr>
      </w:pPr>
      <w:proofErr w:type="spellStart"/>
      <w:r w:rsidRPr="00435D09">
        <w:rPr>
          <w:rFonts w:ascii="Arial" w:hAnsi="Arial" w:cs="Arial"/>
          <w:sz w:val="20"/>
          <w:szCs w:val="20"/>
        </w:rPr>
        <w:t>Jingyi</w:t>
      </w:r>
      <w:proofErr w:type="spellEnd"/>
      <w:r w:rsidRPr="00435D09">
        <w:rPr>
          <w:rFonts w:ascii="Arial" w:hAnsi="Arial" w:cs="Arial"/>
          <w:sz w:val="20"/>
          <w:szCs w:val="20"/>
        </w:rPr>
        <w:t xml:space="preserve"> Zhang</w:t>
      </w:r>
      <w:r w:rsidRPr="00435D09">
        <w:rPr>
          <w:rFonts w:ascii="Arial" w:hAnsi="Arial" w:cs="Arial"/>
          <w:sz w:val="20"/>
          <w:szCs w:val="20"/>
          <w:vertAlign w:val="superscript"/>
        </w:rPr>
        <w:t>1</w:t>
      </w:r>
      <w:r w:rsidR="00435D09" w:rsidRPr="00435D09">
        <w:rPr>
          <w:rFonts w:ascii="Arial" w:hAnsi="Arial" w:cs="Arial"/>
          <w:sz w:val="20"/>
          <w:szCs w:val="20"/>
        </w:rPr>
        <w:t xml:space="preserve">, </w:t>
      </w:r>
      <w:r w:rsidR="006C2648" w:rsidRPr="00435D09">
        <w:rPr>
          <w:rFonts w:ascii="Arial" w:hAnsi="Arial" w:cs="Arial"/>
          <w:sz w:val="20"/>
          <w:szCs w:val="20"/>
        </w:rPr>
        <w:t>Qi Wang</w:t>
      </w:r>
      <w:r w:rsidR="006C2648" w:rsidRPr="00435D09">
        <w:rPr>
          <w:rFonts w:ascii="Arial" w:hAnsi="Arial" w:cs="Arial"/>
          <w:sz w:val="20"/>
          <w:szCs w:val="20"/>
          <w:vertAlign w:val="superscript"/>
        </w:rPr>
        <w:t>2</w:t>
      </w:r>
      <w:r w:rsidR="006C2648" w:rsidRPr="00435D09">
        <w:rPr>
          <w:rFonts w:ascii="Arial" w:hAnsi="Arial" w:cs="Arial"/>
          <w:sz w:val="20"/>
          <w:szCs w:val="20"/>
        </w:rPr>
        <w:t>,</w:t>
      </w:r>
      <w:r w:rsidRPr="00435D09">
        <w:rPr>
          <w:rFonts w:ascii="Arial" w:hAnsi="Arial" w:cs="Arial"/>
          <w:sz w:val="20"/>
          <w:szCs w:val="20"/>
        </w:rPr>
        <w:t xml:space="preserve"> </w:t>
      </w:r>
      <w:proofErr w:type="spellStart"/>
      <w:r w:rsidR="006C2648" w:rsidRPr="00435D09">
        <w:rPr>
          <w:rFonts w:ascii="Arial" w:hAnsi="Arial" w:cs="Arial"/>
          <w:sz w:val="20"/>
          <w:szCs w:val="20"/>
        </w:rPr>
        <w:t>Lijuan</w:t>
      </w:r>
      <w:proofErr w:type="spellEnd"/>
      <w:r w:rsidR="006C2648" w:rsidRPr="00435D09">
        <w:rPr>
          <w:rFonts w:ascii="Arial" w:hAnsi="Arial" w:cs="Arial"/>
          <w:sz w:val="20"/>
          <w:szCs w:val="20"/>
        </w:rPr>
        <w:t xml:space="preserve"> Si</w:t>
      </w:r>
      <w:r w:rsidR="006C2648" w:rsidRPr="00435D09">
        <w:rPr>
          <w:rFonts w:ascii="Arial" w:hAnsi="Arial" w:cs="Arial"/>
          <w:sz w:val="20"/>
          <w:szCs w:val="20"/>
          <w:vertAlign w:val="superscript"/>
        </w:rPr>
        <w:t>3</w:t>
      </w:r>
      <w:r w:rsidRPr="00435D09">
        <w:rPr>
          <w:rFonts w:ascii="Arial" w:hAnsi="Arial" w:cs="Arial"/>
          <w:sz w:val="20"/>
          <w:szCs w:val="20"/>
        </w:rPr>
        <w:t xml:space="preserve">, </w:t>
      </w:r>
      <w:r w:rsidR="006C2648" w:rsidRPr="00435D09">
        <w:rPr>
          <w:rFonts w:ascii="Arial" w:hAnsi="Arial" w:cs="Arial"/>
          <w:sz w:val="20"/>
          <w:szCs w:val="20"/>
        </w:rPr>
        <w:t>Lili Wei</w:t>
      </w:r>
      <w:r w:rsidR="006C2648" w:rsidRPr="00435D09">
        <w:rPr>
          <w:rFonts w:ascii="Arial" w:hAnsi="Arial" w:cs="Arial"/>
          <w:sz w:val="20"/>
          <w:szCs w:val="20"/>
          <w:vertAlign w:val="superscript"/>
        </w:rPr>
        <w:t>3</w:t>
      </w:r>
      <w:r w:rsidR="00435D09" w:rsidRPr="00435D09">
        <w:rPr>
          <w:rFonts w:ascii="Arial" w:hAnsi="Arial" w:cs="Arial"/>
          <w:sz w:val="20"/>
          <w:szCs w:val="20"/>
        </w:rPr>
        <w:t xml:space="preserve">, </w:t>
      </w:r>
      <w:proofErr w:type="spellStart"/>
      <w:r w:rsidR="006C2648" w:rsidRPr="00435D09">
        <w:rPr>
          <w:rFonts w:ascii="Arial" w:hAnsi="Arial" w:cs="Arial"/>
          <w:sz w:val="20"/>
          <w:szCs w:val="20"/>
        </w:rPr>
        <w:t>Guanghua</w:t>
      </w:r>
      <w:proofErr w:type="spellEnd"/>
      <w:r w:rsidR="006C2648" w:rsidRPr="00435D09">
        <w:rPr>
          <w:rFonts w:ascii="Arial" w:hAnsi="Arial" w:cs="Arial"/>
          <w:sz w:val="20"/>
          <w:szCs w:val="20"/>
        </w:rPr>
        <w:t xml:space="preserve"> Liu</w:t>
      </w:r>
      <w:r w:rsidRPr="00435D09">
        <w:rPr>
          <w:rFonts w:ascii="Arial" w:hAnsi="Arial" w:cs="Arial"/>
          <w:sz w:val="20"/>
          <w:szCs w:val="20"/>
          <w:vertAlign w:val="superscript"/>
        </w:rPr>
        <w:t>4</w:t>
      </w:r>
      <w:r w:rsidRPr="00435D09">
        <w:rPr>
          <w:rFonts w:ascii="Arial" w:hAnsi="Arial" w:cs="Arial"/>
          <w:sz w:val="20"/>
          <w:szCs w:val="20"/>
        </w:rPr>
        <w:t xml:space="preserve">, </w:t>
      </w:r>
      <w:proofErr w:type="spellStart"/>
      <w:r w:rsidRPr="00435D09">
        <w:rPr>
          <w:rFonts w:ascii="Arial" w:hAnsi="Arial" w:cs="Arial"/>
          <w:sz w:val="20"/>
          <w:szCs w:val="20"/>
        </w:rPr>
        <w:t>Kehu</w:t>
      </w:r>
      <w:proofErr w:type="spellEnd"/>
      <w:r w:rsidRPr="00435D09">
        <w:rPr>
          <w:rFonts w:ascii="Arial" w:hAnsi="Arial" w:cs="Arial"/>
          <w:sz w:val="20"/>
          <w:szCs w:val="20"/>
        </w:rPr>
        <w:t xml:space="preserve"> Yang</w:t>
      </w:r>
      <w:r w:rsidRPr="00435D09">
        <w:rPr>
          <w:rFonts w:ascii="Arial" w:hAnsi="Arial" w:cs="Arial"/>
          <w:sz w:val="20"/>
          <w:szCs w:val="20"/>
          <w:vertAlign w:val="superscript"/>
        </w:rPr>
        <w:t>5</w:t>
      </w:r>
      <w:r w:rsidR="006C2648" w:rsidRPr="00435D09">
        <w:rPr>
          <w:rFonts w:ascii="Arial" w:hAnsi="Arial" w:cs="Arial"/>
          <w:sz w:val="20"/>
          <w:szCs w:val="20"/>
          <w:vertAlign w:val="superscript"/>
        </w:rPr>
        <w:t>,6,7</w:t>
      </w:r>
      <w:r w:rsidR="00435D09" w:rsidRPr="00435D09">
        <w:rPr>
          <w:rFonts w:ascii="Arial" w:hAnsi="Arial" w:cs="Arial"/>
          <w:sz w:val="20"/>
          <w:szCs w:val="20"/>
        </w:rPr>
        <w:t xml:space="preserve">, and </w:t>
      </w:r>
      <w:proofErr w:type="spellStart"/>
      <w:r w:rsidR="006C2648" w:rsidRPr="00435D09">
        <w:rPr>
          <w:rFonts w:ascii="Arial" w:hAnsi="Arial" w:cs="Arial"/>
          <w:sz w:val="20"/>
          <w:szCs w:val="20"/>
        </w:rPr>
        <w:t>Yaolong</w:t>
      </w:r>
      <w:proofErr w:type="spellEnd"/>
      <w:r w:rsidR="006C2648" w:rsidRPr="00435D09">
        <w:rPr>
          <w:rFonts w:ascii="Arial" w:hAnsi="Arial" w:cs="Arial"/>
          <w:sz w:val="20"/>
          <w:szCs w:val="20"/>
        </w:rPr>
        <w:t xml:space="preserve"> Chen</w:t>
      </w:r>
      <w:r w:rsidR="006C2648" w:rsidRPr="00435D09">
        <w:rPr>
          <w:rFonts w:ascii="Arial" w:hAnsi="Arial" w:cs="Arial"/>
          <w:sz w:val="20"/>
          <w:szCs w:val="20"/>
          <w:vertAlign w:val="superscript"/>
        </w:rPr>
        <w:t>5,6,7</w:t>
      </w:r>
    </w:p>
    <w:p w:rsidR="00B248C2" w:rsidRPr="00435D09" w:rsidRDefault="00B248C2" w:rsidP="00B248C2">
      <w:pPr>
        <w:rPr>
          <w:rFonts w:ascii="Arial" w:hAnsi="Arial" w:cs="Arial"/>
          <w:sz w:val="20"/>
          <w:szCs w:val="20"/>
        </w:rPr>
      </w:pPr>
    </w:p>
    <w:p w:rsidR="00B248C2" w:rsidRPr="00435D09" w:rsidRDefault="00B248C2" w:rsidP="00B248C2">
      <w:pPr>
        <w:rPr>
          <w:rFonts w:ascii="Arial" w:hAnsi="Arial" w:cs="Arial"/>
          <w:b/>
          <w:sz w:val="20"/>
          <w:szCs w:val="20"/>
        </w:rPr>
      </w:pPr>
      <w:r w:rsidRPr="00435D09">
        <w:rPr>
          <w:rFonts w:ascii="Arial" w:hAnsi="Arial" w:cs="Arial"/>
          <w:b/>
          <w:sz w:val="20"/>
          <w:szCs w:val="20"/>
        </w:rPr>
        <w:t xml:space="preserve">Affiliation </w:t>
      </w:r>
    </w:p>
    <w:p w:rsidR="00B248C2" w:rsidRPr="00435D09" w:rsidRDefault="00B248C2" w:rsidP="00B248C2">
      <w:pPr>
        <w:pStyle w:val="ListParagraph"/>
        <w:numPr>
          <w:ilvl w:val="0"/>
          <w:numId w:val="1"/>
        </w:numPr>
        <w:ind w:firstLineChars="0"/>
        <w:rPr>
          <w:rFonts w:ascii="Arial" w:hAnsi="Arial" w:cs="Arial"/>
          <w:sz w:val="20"/>
          <w:szCs w:val="20"/>
        </w:rPr>
      </w:pPr>
      <w:r w:rsidRPr="00435D09">
        <w:rPr>
          <w:rFonts w:ascii="Arial" w:hAnsi="Arial" w:cs="Arial"/>
          <w:sz w:val="20"/>
          <w:szCs w:val="20"/>
        </w:rPr>
        <w:t xml:space="preserve">Evidence-Based Social Science Research Center, </w:t>
      </w:r>
      <w:r w:rsidR="006C2648" w:rsidRPr="00435D09">
        <w:rPr>
          <w:rFonts w:ascii="Arial" w:hAnsi="Arial" w:cs="Arial"/>
          <w:sz w:val="20"/>
          <w:szCs w:val="20"/>
        </w:rPr>
        <w:t xml:space="preserve">School of Public </w:t>
      </w:r>
      <w:r w:rsidR="00435D09" w:rsidRPr="00435D09">
        <w:rPr>
          <w:rFonts w:ascii="Arial" w:hAnsi="Arial" w:cs="Arial"/>
          <w:sz w:val="20"/>
          <w:szCs w:val="20"/>
        </w:rPr>
        <w:t>Health, Lanzhou</w:t>
      </w:r>
      <w:r w:rsidRPr="00435D09">
        <w:rPr>
          <w:rFonts w:ascii="Arial" w:hAnsi="Arial" w:cs="Arial"/>
          <w:sz w:val="20"/>
          <w:szCs w:val="20"/>
        </w:rPr>
        <w:t xml:space="preserve"> University, Lanzhou</w:t>
      </w:r>
    </w:p>
    <w:p w:rsidR="00B248C2" w:rsidRPr="00435D09" w:rsidRDefault="00B248C2" w:rsidP="00B248C2">
      <w:pPr>
        <w:pStyle w:val="ListParagraph"/>
        <w:numPr>
          <w:ilvl w:val="0"/>
          <w:numId w:val="1"/>
        </w:numPr>
        <w:ind w:firstLineChars="0"/>
        <w:rPr>
          <w:rFonts w:ascii="Arial" w:hAnsi="Arial" w:cs="Arial"/>
          <w:sz w:val="20"/>
          <w:szCs w:val="20"/>
        </w:rPr>
      </w:pPr>
      <w:r w:rsidRPr="00435D09">
        <w:rPr>
          <w:rFonts w:ascii="Arial" w:hAnsi="Arial" w:cs="Arial"/>
          <w:sz w:val="20"/>
          <w:szCs w:val="20"/>
        </w:rPr>
        <w:t>McMaster Health Forum’s Impact Lab, McMaster University, Ham</w:t>
      </w:r>
      <w:r w:rsidR="00435D09" w:rsidRPr="00435D09">
        <w:rPr>
          <w:rFonts w:ascii="Arial" w:hAnsi="Arial" w:cs="Arial"/>
          <w:sz w:val="20"/>
          <w:szCs w:val="20"/>
        </w:rPr>
        <w:t>ilton, Ontario, L8S 4L8, Canada</w:t>
      </w:r>
    </w:p>
    <w:p w:rsidR="00B248C2" w:rsidRPr="00435D09" w:rsidRDefault="00B248C2" w:rsidP="00B248C2">
      <w:pPr>
        <w:pStyle w:val="ListParagraph"/>
        <w:numPr>
          <w:ilvl w:val="0"/>
          <w:numId w:val="1"/>
        </w:numPr>
        <w:ind w:firstLineChars="0"/>
        <w:rPr>
          <w:rFonts w:ascii="Arial" w:hAnsi="Arial" w:cs="Arial"/>
          <w:sz w:val="20"/>
          <w:szCs w:val="20"/>
        </w:rPr>
      </w:pPr>
      <w:r w:rsidRPr="00435D09">
        <w:rPr>
          <w:rFonts w:ascii="Arial" w:hAnsi="Arial" w:cs="Arial"/>
          <w:sz w:val="20"/>
          <w:szCs w:val="20"/>
        </w:rPr>
        <w:t xml:space="preserve">School of </w:t>
      </w:r>
      <w:r w:rsidR="006C2648" w:rsidRPr="00435D09">
        <w:rPr>
          <w:rFonts w:ascii="Arial" w:hAnsi="Arial" w:cs="Arial"/>
          <w:sz w:val="20"/>
          <w:szCs w:val="20"/>
        </w:rPr>
        <w:t>Economics</w:t>
      </w:r>
      <w:r w:rsidRPr="00435D09">
        <w:rPr>
          <w:rFonts w:ascii="Arial" w:hAnsi="Arial" w:cs="Arial"/>
          <w:sz w:val="20"/>
          <w:szCs w:val="20"/>
        </w:rPr>
        <w:t>, Lanz</w:t>
      </w:r>
      <w:r w:rsidR="00435D09" w:rsidRPr="00435D09">
        <w:rPr>
          <w:rFonts w:ascii="Arial" w:hAnsi="Arial" w:cs="Arial"/>
          <w:sz w:val="20"/>
          <w:szCs w:val="20"/>
        </w:rPr>
        <w:t xml:space="preserve">hou University, Lanzhou </w:t>
      </w:r>
    </w:p>
    <w:p w:rsidR="006C2648" w:rsidRPr="00435D09" w:rsidRDefault="006C2648" w:rsidP="00B248C2">
      <w:pPr>
        <w:pStyle w:val="ListParagraph"/>
        <w:numPr>
          <w:ilvl w:val="0"/>
          <w:numId w:val="1"/>
        </w:numPr>
        <w:ind w:firstLineChars="0"/>
        <w:rPr>
          <w:rFonts w:ascii="Arial" w:hAnsi="Arial" w:cs="Arial"/>
          <w:sz w:val="20"/>
          <w:szCs w:val="20"/>
        </w:rPr>
      </w:pPr>
      <w:bookmarkStart w:id="0" w:name="OLE_LINK1"/>
      <w:r w:rsidRPr="00435D09">
        <w:rPr>
          <w:rFonts w:ascii="Arial" w:hAnsi="Arial" w:cs="Arial"/>
          <w:sz w:val="20"/>
          <w:szCs w:val="20"/>
        </w:rPr>
        <w:t>School of Law, Lanz</w:t>
      </w:r>
      <w:r w:rsidR="00435D09" w:rsidRPr="00435D09">
        <w:rPr>
          <w:rFonts w:ascii="Arial" w:hAnsi="Arial" w:cs="Arial"/>
          <w:sz w:val="20"/>
          <w:szCs w:val="20"/>
        </w:rPr>
        <w:t xml:space="preserve">hou University, Lanzhou </w:t>
      </w:r>
    </w:p>
    <w:p w:rsidR="006C2648" w:rsidRPr="00435D09" w:rsidRDefault="006C2648" w:rsidP="006C2648">
      <w:pPr>
        <w:pStyle w:val="ListParagraph"/>
        <w:numPr>
          <w:ilvl w:val="0"/>
          <w:numId w:val="1"/>
        </w:numPr>
        <w:ind w:firstLineChars="0"/>
        <w:rPr>
          <w:rFonts w:ascii="Arial" w:hAnsi="Arial" w:cs="Arial"/>
          <w:sz w:val="20"/>
          <w:szCs w:val="20"/>
        </w:rPr>
      </w:pPr>
      <w:bookmarkStart w:id="1" w:name="OLE_LINK2"/>
      <w:bookmarkStart w:id="2" w:name="OLE_LINK6"/>
      <w:bookmarkEnd w:id="0"/>
      <w:r w:rsidRPr="00435D09">
        <w:rPr>
          <w:rFonts w:ascii="Arial" w:hAnsi="Arial" w:cs="Arial"/>
          <w:sz w:val="20"/>
          <w:szCs w:val="20"/>
        </w:rPr>
        <w:t xml:space="preserve">Evidence-Based Medicine Center, School of Basic Medical Sciences, Lanzhou University, Lanzhou </w:t>
      </w:r>
      <w:bookmarkEnd w:id="1"/>
    </w:p>
    <w:p w:rsidR="00435D09" w:rsidRPr="00435D09" w:rsidRDefault="00B248C2" w:rsidP="00794EBA">
      <w:pPr>
        <w:pStyle w:val="ListParagraph"/>
        <w:numPr>
          <w:ilvl w:val="0"/>
          <w:numId w:val="1"/>
        </w:numPr>
        <w:ind w:firstLineChars="0"/>
        <w:rPr>
          <w:rFonts w:ascii="Arial" w:hAnsi="Arial" w:cs="Arial"/>
          <w:sz w:val="20"/>
          <w:szCs w:val="20"/>
        </w:rPr>
      </w:pPr>
      <w:bookmarkStart w:id="3" w:name="OLE_LINK3"/>
      <w:bookmarkEnd w:id="2"/>
      <w:r w:rsidRPr="00435D09">
        <w:rPr>
          <w:rFonts w:ascii="Arial" w:hAnsi="Arial" w:cs="Arial"/>
          <w:sz w:val="20"/>
          <w:szCs w:val="20"/>
        </w:rPr>
        <w:t xml:space="preserve">WHO Collaborating Centre for Guideline Implementation and Knowledge Translation, Lanzhou </w:t>
      </w:r>
      <w:bookmarkStart w:id="4" w:name="OLE_LINK4"/>
      <w:bookmarkStart w:id="5" w:name="OLE_LINK5"/>
      <w:bookmarkEnd w:id="3"/>
    </w:p>
    <w:p w:rsidR="00B248C2" w:rsidRPr="00435D09" w:rsidRDefault="00B248C2" w:rsidP="00794EBA">
      <w:pPr>
        <w:pStyle w:val="ListParagraph"/>
        <w:numPr>
          <w:ilvl w:val="0"/>
          <w:numId w:val="1"/>
        </w:numPr>
        <w:ind w:firstLineChars="0"/>
        <w:rPr>
          <w:rFonts w:ascii="Arial" w:hAnsi="Arial" w:cs="Arial"/>
          <w:sz w:val="20"/>
          <w:szCs w:val="20"/>
        </w:rPr>
      </w:pPr>
      <w:r w:rsidRPr="00435D09">
        <w:rPr>
          <w:rFonts w:ascii="Arial" w:hAnsi="Arial" w:cs="Arial"/>
          <w:sz w:val="20"/>
          <w:szCs w:val="20"/>
        </w:rPr>
        <w:t xml:space="preserve">Chinese GRADE Centre, Lanzhou </w:t>
      </w:r>
      <w:bookmarkEnd w:id="4"/>
      <w:bookmarkEnd w:id="5"/>
    </w:p>
    <w:p w:rsidR="006C2648" w:rsidRPr="00435D09" w:rsidRDefault="006C2648" w:rsidP="00B248C2">
      <w:pPr>
        <w:rPr>
          <w:rFonts w:ascii="Arial" w:hAnsi="Arial" w:cs="Arial"/>
          <w:sz w:val="20"/>
          <w:szCs w:val="20"/>
        </w:rPr>
      </w:pPr>
    </w:p>
    <w:p w:rsidR="00B248C2" w:rsidRPr="00435D09" w:rsidRDefault="00B248C2" w:rsidP="00B248C2">
      <w:pPr>
        <w:rPr>
          <w:rFonts w:ascii="Arial" w:hAnsi="Arial" w:cs="Arial"/>
          <w:b/>
          <w:sz w:val="20"/>
          <w:szCs w:val="20"/>
        </w:rPr>
      </w:pPr>
      <w:r w:rsidRPr="00435D09">
        <w:rPr>
          <w:rFonts w:ascii="Arial" w:hAnsi="Arial" w:cs="Arial"/>
          <w:b/>
          <w:sz w:val="20"/>
          <w:szCs w:val="20"/>
        </w:rPr>
        <w:t>Country of residence</w:t>
      </w:r>
    </w:p>
    <w:p w:rsidR="00B248C2" w:rsidRPr="00435D09" w:rsidRDefault="00B248C2" w:rsidP="00B248C2">
      <w:pPr>
        <w:rPr>
          <w:rFonts w:ascii="Arial" w:hAnsi="Arial" w:cs="Arial"/>
          <w:sz w:val="20"/>
          <w:szCs w:val="20"/>
        </w:rPr>
      </w:pPr>
      <w:r w:rsidRPr="00435D09">
        <w:rPr>
          <w:rFonts w:ascii="Arial" w:hAnsi="Arial" w:cs="Arial"/>
          <w:sz w:val="20"/>
          <w:szCs w:val="20"/>
        </w:rPr>
        <w:t>China</w:t>
      </w:r>
    </w:p>
    <w:p w:rsidR="00B248C2" w:rsidRPr="00435D09" w:rsidRDefault="00B248C2" w:rsidP="00B248C2">
      <w:pPr>
        <w:rPr>
          <w:rFonts w:ascii="Arial" w:eastAsia="DengXian" w:hAnsi="Arial" w:cs="Arial"/>
          <w:b/>
          <w:sz w:val="20"/>
          <w:szCs w:val="20"/>
          <w:lang w:val="en-AU"/>
        </w:rPr>
      </w:pPr>
    </w:p>
    <w:p w:rsidR="00B248C2" w:rsidRPr="00435D09" w:rsidRDefault="00B248C2" w:rsidP="00B248C2">
      <w:pPr>
        <w:rPr>
          <w:rFonts w:ascii="Arial" w:hAnsi="Arial" w:cs="Arial"/>
          <w:b/>
          <w:sz w:val="20"/>
          <w:szCs w:val="20"/>
        </w:rPr>
      </w:pPr>
      <w:r w:rsidRPr="00435D09">
        <w:rPr>
          <w:rFonts w:ascii="Arial" w:hAnsi="Arial" w:cs="Arial"/>
          <w:b/>
          <w:sz w:val="20"/>
          <w:szCs w:val="20"/>
        </w:rPr>
        <w:t>Objectives/aims</w:t>
      </w:r>
    </w:p>
    <w:p w:rsidR="00B248C2" w:rsidRPr="00435D09" w:rsidRDefault="00B248C2" w:rsidP="00B248C2">
      <w:pPr>
        <w:rPr>
          <w:rFonts w:ascii="Arial" w:hAnsi="Arial" w:cs="Arial"/>
          <w:sz w:val="20"/>
          <w:szCs w:val="20"/>
        </w:rPr>
      </w:pPr>
      <w:r w:rsidRPr="00435D09">
        <w:rPr>
          <w:rFonts w:ascii="Arial" w:hAnsi="Arial" w:cs="Arial"/>
          <w:sz w:val="20"/>
          <w:szCs w:val="20"/>
        </w:rPr>
        <w:t xml:space="preserve">We aim to analyze the epidemiology and reporting characteristics of health policy briefs in the Health System Evidence (HSE) and WHO databases. </w:t>
      </w:r>
    </w:p>
    <w:p w:rsidR="00B248C2" w:rsidRPr="00435D09" w:rsidRDefault="00B248C2" w:rsidP="00B248C2">
      <w:pPr>
        <w:rPr>
          <w:rFonts w:ascii="Arial" w:hAnsi="Arial" w:cs="Arial"/>
          <w:sz w:val="20"/>
          <w:szCs w:val="20"/>
        </w:rPr>
      </w:pPr>
    </w:p>
    <w:p w:rsidR="00B248C2" w:rsidRPr="00435D09" w:rsidRDefault="00B248C2" w:rsidP="00B248C2">
      <w:pPr>
        <w:rPr>
          <w:rFonts w:ascii="Arial" w:hAnsi="Arial" w:cs="Arial"/>
          <w:b/>
          <w:sz w:val="20"/>
          <w:szCs w:val="20"/>
        </w:rPr>
      </w:pPr>
      <w:r w:rsidRPr="00435D09">
        <w:rPr>
          <w:rFonts w:ascii="Arial" w:hAnsi="Arial" w:cs="Arial"/>
          <w:b/>
          <w:sz w:val="20"/>
          <w:szCs w:val="20"/>
        </w:rPr>
        <w:t>Methods</w:t>
      </w:r>
    </w:p>
    <w:p w:rsidR="00B248C2" w:rsidRPr="00435D09" w:rsidRDefault="00B248C2" w:rsidP="00B248C2">
      <w:pPr>
        <w:rPr>
          <w:rFonts w:ascii="Arial" w:hAnsi="Arial" w:cs="Arial"/>
          <w:sz w:val="20"/>
          <w:szCs w:val="20"/>
        </w:rPr>
      </w:pPr>
      <w:r w:rsidRPr="00435D09">
        <w:rPr>
          <w:rFonts w:ascii="Arial" w:hAnsi="Arial" w:cs="Arial"/>
          <w:sz w:val="20"/>
          <w:szCs w:val="20"/>
        </w:rPr>
        <w:t xml:space="preserve">Two researchers independently hand-searched HSE and WHO databases before January 31, 2018, and included health policy briefs in English and Chinese. Two reviewers independently completed data extraction and resolved disagreements by discussions. </w:t>
      </w:r>
    </w:p>
    <w:p w:rsidR="00B248C2" w:rsidRPr="00435D09" w:rsidRDefault="00B248C2" w:rsidP="00B248C2">
      <w:pPr>
        <w:rPr>
          <w:rFonts w:ascii="Arial" w:hAnsi="Arial" w:cs="Arial"/>
          <w:sz w:val="20"/>
          <w:szCs w:val="20"/>
        </w:rPr>
      </w:pPr>
    </w:p>
    <w:p w:rsidR="00B248C2" w:rsidRPr="00435D09" w:rsidRDefault="00B248C2" w:rsidP="00B248C2">
      <w:pPr>
        <w:rPr>
          <w:rFonts w:ascii="Arial" w:hAnsi="Arial" w:cs="Arial"/>
          <w:b/>
          <w:sz w:val="20"/>
          <w:szCs w:val="20"/>
        </w:rPr>
      </w:pPr>
      <w:r w:rsidRPr="00435D09">
        <w:rPr>
          <w:rFonts w:ascii="Arial" w:hAnsi="Arial" w:cs="Arial"/>
          <w:b/>
          <w:sz w:val="20"/>
          <w:szCs w:val="20"/>
        </w:rPr>
        <w:t>Main findings</w:t>
      </w:r>
    </w:p>
    <w:p w:rsidR="00A02F8F" w:rsidRPr="001A6DD0" w:rsidRDefault="00B248C2">
      <w:pPr>
        <w:rPr>
          <w:rFonts w:ascii="Arial" w:hAnsi="Arial" w:cs="Arial"/>
          <w:sz w:val="20"/>
          <w:szCs w:val="20"/>
        </w:rPr>
      </w:pPr>
      <w:r w:rsidRPr="00435D09">
        <w:rPr>
          <w:rFonts w:ascii="Arial" w:hAnsi="Arial" w:cs="Arial"/>
          <w:sz w:val="20"/>
          <w:szCs w:val="20"/>
        </w:rPr>
        <w:t>A total of 110 policy briefs were included. 70 (64%) reported background, 108 (98%) reported health problem, 70(64%) policy briefs in the last 4 years (2010-2013), with no updates in 2016 and 2017. 41(53%) reported appendixes and 108 (98%) references, 70 (64%) background were clearly reported; 60 (55%) methodologies, 59 (54%) funding and 56 (51%) conflicts of interest, four of them have conflicts of interest; 92 (84%) policy options were clearly reported</w:t>
      </w:r>
      <w:r w:rsidRPr="00435D09">
        <w:rPr>
          <w:rFonts w:ascii="Arial" w:hAnsi="Arial" w:cs="Arial"/>
          <w:sz w:val="20"/>
          <w:szCs w:val="20"/>
        </w:rPr>
        <w:t>，</w:t>
      </w:r>
      <w:r w:rsidRPr="00435D09">
        <w:rPr>
          <w:rFonts w:ascii="Arial" w:hAnsi="Arial" w:cs="Arial"/>
          <w:sz w:val="20"/>
          <w:szCs w:val="20"/>
        </w:rPr>
        <w:t xml:space="preserve">92 (84%) reported the definition of problem, 86 (78%) reported the size of problem, 91 (83%) reported the impact of problem; 60 (55%) reported development methods, 50 (46%) reported search databases, and 50 (46%) reported comprehensive of evidence; 48 (44%) and 44 (40%) reported advantages and harm of options respectively, 50 (46%) and 26 (24%) reported cost and equity respectively; 74 (67%) reported the implementation of policy options, and 64 (58%) reported potential implementation barriers, 39 (36%) reported strategies of potential obstacles. The formats and contents of the health policy briefs are very different and the format of the report on their methodologies is too simple. Development of different briefs varied a lot by different organizations in reporting characteristics, can learn from clinical practice guidelines for reporting standards and provide the reference for brief developers in the future. </w:t>
      </w:r>
      <w:bookmarkStart w:id="6" w:name="_GoBack"/>
      <w:bookmarkEnd w:id="6"/>
    </w:p>
    <w:sectPr w:rsidR="00A02F8F" w:rsidRPr="001A6DD0" w:rsidSect="001A6DD0">
      <w:pgSz w:w="11906" w:h="16838"/>
      <w:pgMar w:top="1440" w:right="1133"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5A15"/>
    <w:multiLevelType w:val="hybridMultilevel"/>
    <w:tmpl w:val="F4806CE4"/>
    <w:lvl w:ilvl="0" w:tplc="BF34A5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C2"/>
    <w:rsid w:val="001A6DD0"/>
    <w:rsid w:val="002C63F9"/>
    <w:rsid w:val="00435D09"/>
    <w:rsid w:val="006C2648"/>
    <w:rsid w:val="00810383"/>
    <w:rsid w:val="008D614E"/>
    <w:rsid w:val="008F4EA3"/>
    <w:rsid w:val="00B248C2"/>
    <w:rsid w:val="00C0025C"/>
    <w:rsid w:val="00E70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4BE0"/>
  <w15:chartTrackingRefBased/>
  <w15:docId w15:val="{9FCA0C30-99A6-488F-A511-1E0DEB20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8C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8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张静怡</dc:creator>
  <cp:keywords/>
  <dc:description/>
  <cp:lastModifiedBy>Maddison Bourke</cp:lastModifiedBy>
  <cp:revision>2</cp:revision>
  <dcterms:created xsi:type="dcterms:W3CDTF">2018-08-07T15:13:00Z</dcterms:created>
  <dcterms:modified xsi:type="dcterms:W3CDTF">2018-08-07T15:13:00Z</dcterms:modified>
</cp:coreProperties>
</file>