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209C1" w14:textId="76191359" w:rsidR="0083790A" w:rsidRPr="0083790A" w:rsidRDefault="0083790A" w:rsidP="0083790A">
      <w:pPr>
        <w:spacing w:after="0"/>
        <w:rPr>
          <w:rFonts w:ascii="Arial" w:hAnsi="Arial" w:cs="Arial"/>
        </w:rPr>
      </w:pPr>
    </w:p>
    <w:p w14:paraId="0A107488" w14:textId="36DE6E93" w:rsidR="00B12714" w:rsidRPr="00261CBE" w:rsidRDefault="00261CBE" w:rsidP="003D1F3B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261CBE">
        <w:rPr>
          <w:rFonts w:ascii="Arial" w:eastAsia="Times New Roman" w:hAnsi="Arial" w:cs="Arial"/>
          <w:b/>
          <w:sz w:val="24"/>
          <w:szCs w:val="20"/>
        </w:rPr>
        <w:t>PAPER NUMBER</w:t>
      </w:r>
      <w:bookmarkStart w:id="0" w:name="_GoBack"/>
      <w:bookmarkEnd w:id="0"/>
      <w:r w:rsidRPr="00261CBE">
        <w:rPr>
          <w:rFonts w:ascii="Arial" w:eastAsia="Times New Roman" w:hAnsi="Arial" w:cs="Arial"/>
          <w:b/>
          <w:sz w:val="24"/>
          <w:szCs w:val="20"/>
        </w:rPr>
        <w:t xml:space="preserve"> #353</w:t>
      </w:r>
    </w:p>
    <w:p w14:paraId="2EE2A5BE" w14:textId="79D9F60A" w:rsidR="00A4472C" w:rsidRPr="00261CBE" w:rsidRDefault="007D67A4" w:rsidP="003D1F3B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261CBE">
        <w:rPr>
          <w:rFonts w:ascii="Arial" w:eastAsia="Times New Roman" w:hAnsi="Arial" w:cs="Arial"/>
          <w:b/>
          <w:szCs w:val="20"/>
        </w:rPr>
        <w:t xml:space="preserve">A </w:t>
      </w:r>
      <w:r w:rsidR="00E613AF" w:rsidRPr="00261CBE">
        <w:rPr>
          <w:rFonts w:ascii="Arial" w:eastAsia="Times New Roman" w:hAnsi="Arial" w:cs="Arial"/>
          <w:b/>
          <w:szCs w:val="20"/>
        </w:rPr>
        <w:t xml:space="preserve">Prospective Cohort Study </w:t>
      </w:r>
      <w:r w:rsidRPr="00261CBE">
        <w:rPr>
          <w:rFonts w:ascii="Arial" w:eastAsia="Times New Roman" w:hAnsi="Arial" w:cs="Arial"/>
          <w:b/>
          <w:szCs w:val="20"/>
        </w:rPr>
        <w:t>of Return-to-Work Coordinators’ Effectiveness</w:t>
      </w:r>
    </w:p>
    <w:p w14:paraId="28F602DA" w14:textId="26C6831A"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11DAE2F6" w:rsidR="00EB42BD" w:rsidRPr="0083790A" w:rsidRDefault="00261CBE" w:rsidP="00EB42B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  <w:r w:rsidR="000F00DD" w:rsidRPr="0083790A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50EC53FD" w14:textId="659FB095" w:rsidR="00EB42BD" w:rsidRPr="0083790A" w:rsidRDefault="00261CBE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Dr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Tyler J Lane</w:t>
      </w:r>
    </w:p>
    <w:p w14:paraId="29DB496A" w14:textId="3A462EAD" w:rsidR="000F00DD" w:rsidRDefault="000F00DD" w:rsidP="007D52AA">
      <w:pPr>
        <w:spacing w:after="0" w:line="240" w:lineRule="auto"/>
        <w:rPr>
          <w:rFonts w:ascii="Arial" w:hAnsi="Arial" w:cs="Arial"/>
          <w:b/>
          <w:lang w:val="en-AU"/>
        </w:rPr>
      </w:pPr>
    </w:p>
    <w:p w14:paraId="1704993D" w14:textId="412424E4" w:rsidR="007D67A4" w:rsidRDefault="00EB42BD" w:rsidP="007D67A4">
      <w:pPr>
        <w:spacing w:after="0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0B394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28EFE90C" w14:textId="22A80556" w:rsidR="0083790A" w:rsidRPr="00122532" w:rsidRDefault="007D67A4" w:rsidP="00457737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Insurance, Work and Health Group, Monash University</w:t>
      </w:r>
    </w:p>
    <w:p w14:paraId="44EC24DD" w14:textId="42B5A18D" w:rsidR="00796ABC" w:rsidRPr="0083790A" w:rsidRDefault="00796AB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479AAD85" w:rsidR="00796ABC" w:rsidRPr="0083790A" w:rsidRDefault="007D67A4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Australia</w:t>
      </w:r>
    </w:p>
    <w:p w14:paraId="6342468C" w14:textId="77777777" w:rsidR="00796ABC" w:rsidRDefault="00796ABC" w:rsidP="000F0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83A37B9" w14:textId="09AD66E1" w:rsidR="003D1F3B" w:rsidRPr="0083790A" w:rsidRDefault="003B4148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2DC67099" w14:textId="6859B2C0" w:rsidR="007231EB" w:rsidRPr="0083790A" w:rsidRDefault="007D67A4" w:rsidP="007D52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Occupational injuries are estimated to have cost the Australian </w:t>
      </w:r>
      <w:proofErr w:type="gramStart"/>
      <w:r>
        <w:rPr>
          <w:rFonts w:ascii="Arial" w:hAnsi="Arial" w:cs="Arial"/>
          <w:sz w:val="20"/>
          <w:szCs w:val="20"/>
          <w:lang w:val="en-AU"/>
        </w:rPr>
        <w:t>economy</w:t>
      </w:r>
      <w:proofErr w:type="gramEnd"/>
      <w:r>
        <w:rPr>
          <w:rFonts w:ascii="Arial" w:hAnsi="Arial" w:cs="Arial"/>
          <w:sz w:val="20"/>
          <w:szCs w:val="20"/>
          <w:lang w:val="en-AU"/>
        </w:rPr>
        <w:t xml:space="preserve"> A$61.8 billion, or 4.1% of GDP, in 2013/14. Nearly three-quarters of the cost is borne by injured worker themselves. In addition to the expense, long work absences worsen physical, mental, and social health outcomes. Workplace-based interventions may be the best avenue to improve outcomes and reduce disability durations. We look at stressfulness of interactions with workplace-based Return-to-Work (RTW) Coordinators and RTW plans, which in the Victorian system is within their remit.</w:t>
      </w:r>
    </w:p>
    <w:p w14:paraId="30DA605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4AEE3BD" w14:textId="542B6802" w:rsidR="007231EB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7359FECD" w14:textId="228F0E93" w:rsidR="007D67A4" w:rsidRPr="007D67A4" w:rsidRDefault="007D67A4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We examined the impact of low-stress interactions with a RTW Coordinator and RTW plans on sustained (≥ one month) RTW outcomes using longitudinal survey data from </w:t>
      </w:r>
      <w:r>
        <w:rPr>
          <w:rFonts w:ascii="Arial" w:hAnsi="Arial" w:cs="Arial"/>
          <w:i/>
          <w:sz w:val="20"/>
          <w:szCs w:val="20"/>
          <w:lang w:val="en-AU"/>
        </w:rPr>
        <w:t>n</w:t>
      </w:r>
      <w:r>
        <w:rPr>
          <w:rFonts w:ascii="Arial" w:hAnsi="Arial" w:cs="Arial"/>
          <w:sz w:val="20"/>
          <w:szCs w:val="20"/>
          <w:lang w:val="en-AU"/>
        </w:rPr>
        <w:t xml:space="preserve"> = 632 injured Victorian workers with either a mental health or upper-body musculoskeletal occupational injury. Each participant was interviewed at baseline (~4 </w:t>
      </w:r>
      <w:proofErr w:type="gramStart"/>
      <w:r>
        <w:rPr>
          <w:rFonts w:ascii="Arial" w:hAnsi="Arial" w:cs="Arial"/>
          <w:sz w:val="20"/>
          <w:szCs w:val="20"/>
          <w:lang w:val="en-AU"/>
        </w:rPr>
        <w:t>months</w:t>
      </w:r>
      <w:proofErr w:type="gramEnd"/>
      <w:r>
        <w:rPr>
          <w:rFonts w:ascii="Arial" w:hAnsi="Arial" w:cs="Arial"/>
          <w:sz w:val="20"/>
          <w:szCs w:val="20"/>
          <w:lang w:val="en-AU"/>
        </w:rPr>
        <w:t xml:space="preserve"> post-injury) and follow-up (~10 months post-injury). Responses were analysed using multivariable logistic regression analyses, adjusted for demographics and confounders that affected the statistical association between either intervention and RTW outcome by ≥ 10%.</w:t>
      </w:r>
    </w:p>
    <w:p w14:paraId="32B92438" w14:textId="04CA5399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3AF54E2" w14:textId="45E438CB" w:rsidR="007231EB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78582216" w14:textId="4D6ED95A" w:rsidR="007231EB" w:rsidRPr="0083790A" w:rsidRDefault="007D67A4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Half the sample did not have a RTW plan by baseline and 40% had no interaction with a Coordinator. One-sixth of those who did have a Coordinator interaction had high-stress interactions. In fully-adjusted models, only RTW plans were predictive of RTW at baseline, while low-stress interactions were predictive only at follow-up. The results suggest that differences in injured worker trajectory may determine which interventions are effective. Shorter-duration claims may benefit from prescriptive interventions, while longer-duration claims may need more consideration of psychosocial factors.</w:t>
      </w:r>
    </w:p>
    <w:p w14:paraId="75039502" w14:textId="5318D21D" w:rsidR="00D919DA" w:rsidRPr="00261CBE" w:rsidRDefault="007231EB" w:rsidP="00261C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sz w:val="20"/>
          <w:szCs w:val="20"/>
          <w:lang w:val="en-AU"/>
        </w:rPr>
        <w:tab/>
      </w:r>
    </w:p>
    <w:sectPr w:rsidR="00D919DA" w:rsidRPr="00261CBE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CF362" w14:textId="77777777" w:rsidR="009A01BF" w:rsidRDefault="009A01BF" w:rsidP="003C4168">
      <w:pPr>
        <w:spacing w:after="0" w:line="240" w:lineRule="auto"/>
      </w:pPr>
      <w:r>
        <w:separator/>
      </w:r>
    </w:p>
  </w:endnote>
  <w:endnote w:type="continuationSeparator" w:id="0">
    <w:p w14:paraId="2D9E8AA9" w14:textId="77777777" w:rsidR="009A01BF" w:rsidRDefault="009A01BF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09870387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EC1B4" w14:textId="77777777" w:rsidR="009A01BF" w:rsidRDefault="009A01BF" w:rsidP="003C4168">
      <w:pPr>
        <w:spacing w:after="0" w:line="240" w:lineRule="auto"/>
      </w:pPr>
      <w:r>
        <w:separator/>
      </w:r>
    </w:p>
  </w:footnote>
  <w:footnote w:type="continuationSeparator" w:id="0">
    <w:p w14:paraId="300B631F" w14:textId="77777777" w:rsidR="009A01BF" w:rsidRDefault="009A01BF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5EF32373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2088"/>
    <w:rsid w:val="001B5E33"/>
    <w:rsid w:val="001C47A0"/>
    <w:rsid w:val="001D4267"/>
    <w:rsid w:val="001E17A8"/>
    <w:rsid w:val="001E5424"/>
    <w:rsid w:val="00214C4D"/>
    <w:rsid w:val="00220CDB"/>
    <w:rsid w:val="00261CBE"/>
    <w:rsid w:val="00261EB4"/>
    <w:rsid w:val="00293AA4"/>
    <w:rsid w:val="002A0EAA"/>
    <w:rsid w:val="002B6643"/>
    <w:rsid w:val="002D17C6"/>
    <w:rsid w:val="002F07AC"/>
    <w:rsid w:val="00326479"/>
    <w:rsid w:val="00341541"/>
    <w:rsid w:val="00354666"/>
    <w:rsid w:val="003B4148"/>
    <w:rsid w:val="003B5C77"/>
    <w:rsid w:val="003C4168"/>
    <w:rsid w:val="003D0131"/>
    <w:rsid w:val="003D1F3B"/>
    <w:rsid w:val="004459E3"/>
    <w:rsid w:val="00453EEF"/>
    <w:rsid w:val="00457737"/>
    <w:rsid w:val="00464AFE"/>
    <w:rsid w:val="004846F6"/>
    <w:rsid w:val="004A3322"/>
    <w:rsid w:val="005138ED"/>
    <w:rsid w:val="005147E9"/>
    <w:rsid w:val="0053113C"/>
    <w:rsid w:val="005317FD"/>
    <w:rsid w:val="00547E04"/>
    <w:rsid w:val="00555EC7"/>
    <w:rsid w:val="00583790"/>
    <w:rsid w:val="00590E27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66CD5"/>
    <w:rsid w:val="0068048C"/>
    <w:rsid w:val="00696A08"/>
    <w:rsid w:val="006A5A86"/>
    <w:rsid w:val="006D0974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6ABC"/>
    <w:rsid w:val="007C55CD"/>
    <w:rsid w:val="007D52AA"/>
    <w:rsid w:val="007D67A4"/>
    <w:rsid w:val="007E5370"/>
    <w:rsid w:val="008030EC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81BC7"/>
    <w:rsid w:val="009A01BF"/>
    <w:rsid w:val="009C24A6"/>
    <w:rsid w:val="009C7239"/>
    <w:rsid w:val="009D0413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B0F65"/>
    <w:rsid w:val="00BD4965"/>
    <w:rsid w:val="00BF1BCC"/>
    <w:rsid w:val="00C3002F"/>
    <w:rsid w:val="00C31CC5"/>
    <w:rsid w:val="00C43AE6"/>
    <w:rsid w:val="00C50F29"/>
    <w:rsid w:val="00C64D55"/>
    <w:rsid w:val="00C73E39"/>
    <w:rsid w:val="00C74127"/>
    <w:rsid w:val="00C81CCB"/>
    <w:rsid w:val="00CB3EE5"/>
    <w:rsid w:val="00CB5B52"/>
    <w:rsid w:val="00CC10EE"/>
    <w:rsid w:val="00D2056A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4665"/>
    <w:rsid w:val="00E613AF"/>
    <w:rsid w:val="00E8430C"/>
    <w:rsid w:val="00EB42BD"/>
    <w:rsid w:val="00EC134F"/>
    <w:rsid w:val="00EC263B"/>
    <w:rsid w:val="00F314EF"/>
    <w:rsid w:val="00F42A0F"/>
    <w:rsid w:val="00F517AA"/>
    <w:rsid w:val="00F54841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2018-08-08T12:46:00Z</dcterms:created>
  <dcterms:modified xsi:type="dcterms:W3CDTF">2018-08-08T12:46:00Z</dcterms:modified>
</cp:coreProperties>
</file>