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2EE2A5BE" w14:textId="14331BD2" w:rsidR="00A4472C" w:rsidRPr="0083790A" w:rsidRDefault="004A4323" w:rsidP="003D1F3B">
      <w:pPr>
        <w:spacing w:after="0" w:line="240" w:lineRule="auto"/>
        <w:rPr>
          <w:rFonts w:ascii="Arial" w:eastAsia="Times New Roman" w:hAnsi="Arial" w:cs="Arial"/>
          <w:sz w:val="20"/>
          <w:szCs w:val="20"/>
        </w:rPr>
      </w:pPr>
      <w:r>
        <w:rPr>
          <w:rFonts w:ascii="Arial" w:eastAsia="Times New Roman" w:hAnsi="Arial" w:cs="Arial"/>
          <w:sz w:val="20"/>
          <w:szCs w:val="20"/>
        </w:rPr>
        <w:t xml:space="preserve">Knowledge brokering </w:t>
      </w:r>
      <w:r w:rsidR="00860CD2">
        <w:rPr>
          <w:rFonts w:ascii="Arial" w:eastAsia="Times New Roman" w:hAnsi="Arial" w:cs="Arial"/>
          <w:sz w:val="20"/>
          <w:szCs w:val="20"/>
        </w:rPr>
        <w:t>activities</w:t>
      </w:r>
      <w:r>
        <w:rPr>
          <w:rFonts w:ascii="Arial" w:eastAsia="Times New Roman" w:hAnsi="Arial" w:cs="Arial"/>
          <w:sz w:val="20"/>
          <w:szCs w:val="20"/>
        </w:rPr>
        <w:t xml:space="preserve"> enhance clinicians’ research engagement</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2A73A2A1"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p>
    <w:p w14:paraId="50EC53FD" w14:textId="7DF0C8DA" w:rsidR="00EB42BD" w:rsidRPr="004A4323" w:rsidRDefault="004A4323" w:rsidP="004A4323">
      <w:pPr>
        <w:rPr>
          <w:rFonts w:ascii="Arial" w:hAnsi="Arial" w:cs="Arial"/>
          <w:sz w:val="20"/>
          <w:szCs w:val="20"/>
        </w:rPr>
      </w:pPr>
      <w:r>
        <w:rPr>
          <w:rFonts w:ascii="Arial" w:hAnsi="Arial" w:cs="Arial"/>
          <w:b/>
          <w:bCs/>
          <w:i/>
          <w:sz w:val="20"/>
          <w:szCs w:val="20"/>
        </w:rPr>
        <w:t xml:space="preserve">Mickan </w:t>
      </w:r>
      <w:r w:rsidRPr="00CE39DD">
        <w:rPr>
          <w:rFonts w:ascii="Arial" w:hAnsi="Arial" w:cs="Arial"/>
          <w:b/>
          <w:bCs/>
          <w:i/>
          <w:sz w:val="20"/>
          <w:szCs w:val="20"/>
        </w:rPr>
        <w:t>S</w:t>
      </w:r>
      <w:r w:rsidRPr="00CE39DD">
        <w:rPr>
          <w:rFonts w:ascii="Arial" w:hAnsi="Arial" w:cs="Arial"/>
          <w:b/>
          <w:bCs/>
          <w:i/>
          <w:sz w:val="20"/>
          <w:szCs w:val="20"/>
          <w:vertAlign w:val="superscript"/>
        </w:rPr>
        <w:t>1</w:t>
      </w:r>
      <w:proofErr w:type="gramStart"/>
      <w:r>
        <w:rPr>
          <w:rFonts w:ascii="Arial" w:hAnsi="Arial" w:cs="Arial"/>
          <w:b/>
          <w:bCs/>
          <w:i/>
          <w:sz w:val="20"/>
          <w:szCs w:val="20"/>
          <w:vertAlign w:val="superscript"/>
        </w:rPr>
        <w:t>,2</w:t>
      </w:r>
      <w:proofErr w:type="gramEnd"/>
      <w:r w:rsidRPr="00CE39DD">
        <w:rPr>
          <w:rFonts w:ascii="Arial" w:hAnsi="Arial" w:cs="Arial"/>
          <w:b/>
          <w:bCs/>
          <w:sz w:val="20"/>
          <w:szCs w:val="20"/>
        </w:rPr>
        <w:t xml:space="preserve">, </w:t>
      </w:r>
      <w:r>
        <w:rPr>
          <w:rFonts w:ascii="Arial" w:hAnsi="Arial" w:cs="Arial"/>
          <w:sz w:val="20"/>
          <w:szCs w:val="20"/>
        </w:rPr>
        <w:t>Wenke, R</w:t>
      </w:r>
      <w:r>
        <w:rPr>
          <w:rFonts w:ascii="Arial" w:hAnsi="Arial" w:cs="Arial"/>
          <w:sz w:val="20"/>
          <w:szCs w:val="20"/>
          <w:vertAlign w:val="superscript"/>
        </w:rPr>
        <w:t>1,2</w:t>
      </w:r>
      <w:r w:rsidRPr="00CE39DD">
        <w:rPr>
          <w:rFonts w:ascii="Arial" w:hAnsi="Arial" w:cs="Arial"/>
          <w:sz w:val="20"/>
          <w:szCs w:val="20"/>
        </w:rPr>
        <w:t xml:space="preserve">, </w:t>
      </w:r>
      <w:r>
        <w:rPr>
          <w:rFonts w:ascii="Arial" w:hAnsi="Arial" w:cs="Arial"/>
          <w:sz w:val="20"/>
          <w:szCs w:val="20"/>
        </w:rPr>
        <w:t>Noble, C</w:t>
      </w:r>
      <w:r>
        <w:rPr>
          <w:rFonts w:ascii="Arial" w:hAnsi="Arial" w:cs="Arial"/>
          <w:sz w:val="20"/>
          <w:szCs w:val="20"/>
          <w:vertAlign w:val="superscript"/>
        </w:rPr>
        <w:t>1,2</w:t>
      </w:r>
      <w:r w:rsidRPr="00CE39DD">
        <w:rPr>
          <w:rFonts w:ascii="Arial" w:hAnsi="Arial" w:cs="Arial"/>
          <w:sz w:val="20"/>
          <w:szCs w:val="20"/>
        </w:rPr>
        <w:t>,</w:t>
      </w:r>
      <w:r w:rsidRPr="00650FCF">
        <w:rPr>
          <w:rFonts w:ascii="Arial" w:hAnsi="Arial" w:cs="Arial"/>
          <w:sz w:val="20"/>
          <w:szCs w:val="20"/>
        </w:rPr>
        <w:t xml:space="preserve"> </w:t>
      </w:r>
      <w:r>
        <w:rPr>
          <w:rFonts w:ascii="Arial" w:hAnsi="Arial" w:cs="Arial"/>
          <w:sz w:val="20"/>
          <w:szCs w:val="20"/>
        </w:rPr>
        <w:t>Weir, K</w:t>
      </w:r>
      <w:r>
        <w:rPr>
          <w:rFonts w:ascii="Arial" w:hAnsi="Arial" w:cs="Arial"/>
          <w:sz w:val="20"/>
          <w:szCs w:val="20"/>
          <w:vertAlign w:val="superscript"/>
        </w:rPr>
        <w:t>1,2</w:t>
      </w:r>
      <w:r w:rsidRPr="00CE39DD">
        <w:rPr>
          <w:rFonts w:ascii="Arial" w:hAnsi="Arial" w:cs="Arial"/>
          <w:sz w:val="20"/>
          <w:szCs w:val="20"/>
        </w:rPr>
        <w:t>,</w:t>
      </w:r>
      <w:r>
        <w:rPr>
          <w:rFonts w:ascii="Arial" w:hAnsi="Arial" w:cs="Arial"/>
          <w:sz w:val="20"/>
          <w:szCs w:val="20"/>
        </w:rPr>
        <w:t xml:space="preserve"> Bialocerkowski</w:t>
      </w:r>
      <w:r w:rsidRPr="00CE39DD">
        <w:rPr>
          <w:rFonts w:ascii="Arial" w:hAnsi="Arial" w:cs="Arial"/>
          <w:sz w:val="20"/>
          <w:szCs w:val="20"/>
        </w:rPr>
        <w:t xml:space="preserve">, </w:t>
      </w:r>
      <w:r>
        <w:rPr>
          <w:rFonts w:ascii="Arial" w:hAnsi="Arial" w:cs="Arial"/>
          <w:sz w:val="20"/>
          <w:szCs w:val="20"/>
        </w:rPr>
        <w:t>A</w:t>
      </w:r>
      <w:r w:rsidRPr="00CE39DD">
        <w:rPr>
          <w:rFonts w:ascii="Arial" w:hAnsi="Arial" w:cs="Arial"/>
          <w:sz w:val="20"/>
          <w:szCs w:val="20"/>
          <w:vertAlign w:val="superscript"/>
        </w:rPr>
        <w:t>2</w:t>
      </w:r>
    </w:p>
    <w:p w14:paraId="4CCB42F9" w14:textId="6364E4E7" w:rsidR="004A4323" w:rsidRPr="004A4323" w:rsidRDefault="00EB42BD" w:rsidP="00701A7B">
      <w:pPr>
        <w:tabs>
          <w:tab w:val="left" w:pos="1530"/>
        </w:tabs>
        <w:spacing w:after="0"/>
        <w:rPr>
          <w:rFonts w:ascii="Arial" w:eastAsia="Times New Roman"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457737" w:rsidRPr="0083790A">
        <w:rPr>
          <w:rFonts w:ascii="Arial" w:hAnsi="Arial" w:cs="Arial"/>
          <w:sz w:val="20"/>
          <w:szCs w:val="20"/>
        </w:rPr>
        <w:t xml:space="preserve"> </w:t>
      </w:r>
      <w:r w:rsidR="00701A7B">
        <w:rPr>
          <w:rFonts w:ascii="Arial" w:hAnsi="Arial" w:cs="Arial"/>
          <w:sz w:val="20"/>
          <w:szCs w:val="20"/>
        </w:rPr>
        <w:tab/>
      </w:r>
    </w:p>
    <w:p w14:paraId="2CD51F0D" w14:textId="77777777" w:rsidR="004A4323" w:rsidRPr="004A4323" w:rsidRDefault="004A4323" w:rsidP="00701A7B">
      <w:pPr>
        <w:spacing w:after="0"/>
        <w:rPr>
          <w:rFonts w:ascii="Arial" w:eastAsia="Times New Roman" w:hAnsi="Arial" w:cs="Arial"/>
          <w:sz w:val="20"/>
          <w:szCs w:val="20"/>
        </w:rPr>
      </w:pPr>
      <w:r w:rsidRPr="004A4323">
        <w:rPr>
          <w:rFonts w:ascii="Arial" w:eastAsia="Times New Roman" w:hAnsi="Arial" w:cs="Arial"/>
          <w:sz w:val="20"/>
          <w:szCs w:val="20"/>
        </w:rPr>
        <w:t>1 Gold Coast Health, Gold Coast, Australia</w:t>
      </w:r>
    </w:p>
    <w:p w14:paraId="28EFE90C" w14:textId="07151256" w:rsidR="0083790A" w:rsidRPr="00122532" w:rsidRDefault="004A4323" w:rsidP="004A4323">
      <w:pPr>
        <w:rPr>
          <w:rFonts w:ascii="Arial" w:hAnsi="Arial" w:cs="Arial"/>
          <w:sz w:val="20"/>
          <w:szCs w:val="20"/>
        </w:rPr>
      </w:pPr>
      <w:r w:rsidRPr="004A4323">
        <w:rPr>
          <w:rFonts w:ascii="Arial" w:eastAsia="Times New Roman" w:hAnsi="Arial" w:cs="Arial"/>
          <w:sz w:val="20"/>
          <w:szCs w:val="20"/>
        </w:rPr>
        <w:t xml:space="preserve">2 Griffith </w:t>
      </w:r>
      <w:proofErr w:type="gramStart"/>
      <w:r w:rsidRPr="004A4323">
        <w:rPr>
          <w:rFonts w:ascii="Arial" w:eastAsia="Times New Roman" w:hAnsi="Arial" w:cs="Arial"/>
          <w:sz w:val="20"/>
          <w:szCs w:val="20"/>
        </w:rPr>
        <w:t>University</w:t>
      </w:r>
      <w:proofErr w:type="gramEnd"/>
      <w:r w:rsidRPr="004A4323">
        <w:rPr>
          <w:rFonts w:ascii="Arial" w:eastAsia="Times New Roman" w:hAnsi="Arial" w:cs="Arial"/>
          <w:sz w:val="20"/>
          <w:szCs w:val="20"/>
        </w:rPr>
        <w:t>, Gold Coast, Australia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19F83A21" w:rsidR="00796ABC" w:rsidRPr="0083790A" w:rsidRDefault="004A4323"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7D9A4C6E" w:rsidR="000F00DD" w:rsidRPr="0083790A" w:rsidRDefault="004A4323" w:rsidP="000F00DD">
          <w:pPr>
            <w:spacing w:after="0" w:line="240" w:lineRule="auto"/>
            <w:rPr>
              <w:rFonts w:ascii="Arial" w:hAnsi="Arial" w:cs="Arial"/>
              <w:b/>
              <w:sz w:val="20"/>
              <w:szCs w:val="20"/>
              <w:lang w:val="en-AU"/>
            </w:rPr>
          </w:pPr>
          <w:r>
            <w:rPr>
              <w:rFonts w:ascii="Arial" w:hAnsi="Arial" w:cs="Arial"/>
              <w:b/>
              <w:sz w:val="20"/>
              <w:szCs w:val="20"/>
              <w:lang w:val="en-AU"/>
            </w:rPr>
            <w:t>Individual presentation</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1258CAA9" w:rsidR="00457737" w:rsidRPr="0083790A" w:rsidRDefault="004A4323" w:rsidP="007D52AA">
          <w:pPr>
            <w:spacing w:after="0" w:line="240" w:lineRule="auto"/>
            <w:rPr>
              <w:rFonts w:ascii="Arial" w:hAnsi="Arial" w:cs="Arial"/>
              <w:sz w:val="20"/>
              <w:szCs w:val="20"/>
              <w:lang w:val="en-AU"/>
            </w:rPr>
          </w:pPr>
          <w:r>
            <w:rPr>
              <w:rStyle w:val="Style1"/>
              <w:rFonts w:ascii="Arial" w:hAnsi="Arial" w:cs="Arial"/>
              <w:szCs w:val="20"/>
            </w:rPr>
            <w:t>Understanding what works</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76EFFD06"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4624E715" w14:textId="71DAEE2C" w:rsidR="004A4323" w:rsidRDefault="004A4323" w:rsidP="004A4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4A4323">
        <w:rPr>
          <w:rFonts w:ascii="Arial" w:hAnsi="Arial" w:cs="Arial"/>
          <w:sz w:val="20"/>
          <w:szCs w:val="20"/>
          <w:lang w:val="en-AU"/>
        </w:rPr>
        <w:t>Knowledge brokers were introduced in Canada over ten years ago to facilitate interactions between clinicians and researchers and to encourage the judicious use of research in clinical practice. Since then, similar roles have been established throughout the UK and Australia.  Th</w:t>
      </w:r>
      <w:r>
        <w:rPr>
          <w:rFonts w:ascii="Arial" w:hAnsi="Arial" w:cs="Arial"/>
          <w:sz w:val="20"/>
          <w:szCs w:val="20"/>
          <w:lang w:val="en-AU"/>
        </w:rPr>
        <w:t xml:space="preserve">is study investigated how </w:t>
      </w:r>
      <w:r w:rsidRPr="004A4323">
        <w:rPr>
          <w:rFonts w:ascii="Arial" w:hAnsi="Arial" w:cs="Arial"/>
          <w:sz w:val="20"/>
          <w:szCs w:val="20"/>
          <w:lang w:val="en-AU"/>
        </w:rPr>
        <w:t xml:space="preserve">Research Fellows use knowledge brokering </w:t>
      </w:r>
      <w:r>
        <w:rPr>
          <w:rFonts w:ascii="Arial" w:hAnsi="Arial" w:cs="Arial"/>
          <w:sz w:val="20"/>
          <w:szCs w:val="20"/>
          <w:lang w:val="en-AU"/>
        </w:rPr>
        <w:t>activitie</w:t>
      </w:r>
      <w:r w:rsidRPr="004A4323">
        <w:rPr>
          <w:rFonts w:ascii="Arial" w:hAnsi="Arial" w:cs="Arial"/>
          <w:sz w:val="20"/>
          <w:szCs w:val="20"/>
          <w:lang w:val="en-AU"/>
        </w:rPr>
        <w:t xml:space="preserve">s within tailored evidence-based interventions to </w:t>
      </w:r>
      <w:r w:rsidR="00C57496">
        <w:rPr>
          <w:rFonts w:ascii="Arial" w:hAnsi="Arial" w:cs="Arial"/>
          <w:sz w:val="20"/>
          <w:szCs w:val="20"/>
          <w:lang w:val="en-AU"/>
        </w:rPr>
        <w:t xml:space="preserve">achieve enhanced </w:t>
      </w:r>
      <w:r w:rsidRPr="004A4323">
        <w:rPr>
          <w:rFonts w:ascii="Arial" w:hAnsi="Arial" w:cs="Arial"/>
          <w:sz w:val="20"/>
          <w:szCs w:val="20"/>
          <w:lang w:val="en-AU"/>
        </w:rPr>
        <w:t>research engagement by allied health clinicians.</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14F40BC8"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5AC3B43" w14:textId="4D671457" w:rsidR="00C57496" w:rsidRDefault="00C57496" w:rsidP="007D52AA">
      <w:pPr>
        <w:spacing w:after="0" w:line="240" w:lineRule="auto"/>
        <w:rPr>
          <w:rFonts w:ascii="Arial" w:hAnsi="Arial" w:cs="Arial"/>
          <w:sz w:val="20"/>
          <w:szCs w:val="20"/>
          <w:lang w:val="en-AU"/>
        </w:rPr>
      </w:pPr>
      <w:r>
        <w:rPr>
          <w:rFonts w:ascii="Arial" w:hAnsi="Arial" w:cs="Arial"/>
          <w:sz w:val="20"/>
          <w:szCs w:val="20"/>
          <w:lang w:val="en-AU"/>
        </w:rPr>
        <w:t xml:space="preserve">Clinicians participated within 10 different case studies of </w:t>
      </w:r>
      <w:r w:rsidRPr="00C57496">
        <w:rPr>
          <w:rFonts w:ascii="Arial" w:hAnsi="Arial" w:cs="Arial"/>
          <w:sz w:val="20"/>
          <w:szCs w:val="20"/>
          <w:lang w:val="en-AU"/>
        </w:rPr>
        <w:t>tailored evidence-based interventions to enhance</w:t>
      </w:r>
      <w:r>
        <w:rPr>
          <w:rFonts w:ascii="Arial" w:hAnsi="Arial" w:cs="Arial"/>
          <w:sz w:val="20"/>
          <w:szCs w:val="20"/>
          <w:lang w:val="en-AU"/>
        </w:rPr>
        <w:t xml:space="preserve"> their use of, participation in and leadership of clinical research projects. Clinicians completed two self-reported questionnaires before and after this intervention; the validated Research Capacity and Culture tool, and a purpose designed Individual Research Engagement Continuum.  Individual quantitative changes have been interpreted by comparison with qualitative interview and focus group data. </w:t>
      </w:r>
    </w:p>
    <w:p w14:paraId="251D8A64" w14:textId="77777777" w:rsidR="00C57496" w:rsidRDefault="00C57496" w:rsidP="007D52AA">
      <w:pPr>
        <w:spacing w:after="0" w:line="240" w:lineRule="auto"/>
        <w:rPr>
          <w:rFonts w:ascii="Arial" w:hAnsi="Arial" w:cs="Arial"/>
          <w:sz w:val="20"/>
          <w:szCs w:val="20"/>
          <w:lang w:val="en-AU"/>
        </w:rPr>
      </w:pPr>
    </w:p>
    <w:p w14:paraId="03AF54E2" w14:textId="7174A223"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69A6684A" w:rsidR="007231EB" w:rsidRPr="0083790A" w:rsidRDefault="0049760E" w:rsidP="007D52AA">
      <w:pPr>
        <w:spacing w:after="0" w:line="240" w:lineRule="auto"/>
        <w:rPr>
          <w:rFonts w:ascii="Arial" w:hAnsi="Arial" w:cs="Arial"/>
          <w:sz w:val="20"/>
          <w:szCs w:val="20"/>
          <w:lang w:val="en-AU"/>
        </w:rPr>
      </w:pPr>
      <w:r w:rsidRPr="0049760E">
        <w:rPr>
          <w:rFonts w:ascii="Arial" w:hAnsi="Arial" w:cs="Arial"/>
          <w:sz w:val="20"/>
          <w:szCs w:val="20"/>
          <w:lang w:val="en-AU"/>
        </w:rPr>
        <w:t xml:space="preserve">Individual </w:t>
      </w:r>
      <w:r w:rsidR="00C57496">
        <w:rPr>
          <w:rFonts w:ascii="Arial" w:hAnsi="Arial" w:cs="Arial"/>
          <w:sz w:val="20"/>
          <w:szCs w:val="20"/>
          <w:lang w:val="en-AU"/>
        </w:rPr>
        <w:t>changes in research capacity and culture are documented alongside changes in individuals</w:t>
      </w:r>
      <w:r w:rsidR="00701A7B">
        <w:rPr>
          <w:rFonts w:ascii="Arial" w:hAnsi="Arial" w:cs="Arial"/>
          <w:sz w:val="20"/>
          <w:szCs w:val="20"/>
          <w:lang w:val="en-AU"/>
        </w:rPr>
        <w:t xml:space="preserve">’ </w:t>
      </w:r>
      <w:r w:rsidR="00C57496">
        <w:rPr>
          <w:rFonts w:ascii="Arial" w:hAnsi="Arial" w:cs="Arial"/>
          <w:sz w:val="20"/>
          <w:szCs w:val="20"/>
          <w:lang w:val="en-AU"/>
        </w:rPr>
        <w:t>positioning on a proposed continuum of research engagement</w:t>
      </w:r>
      <w:r w:rsidR="00701A7B">
        <w:rPr>
          <w:rFonts w:ascii="Arial" w:hAnsi="Arial" w:cs="Arial"/>
          <w:sz w:val="20"/>
          <w:szCs w:val="20"/>
          <w:lang w:val="en-AU"/>
        </w:rPr>
        <w:t xml:space="preserve">. </w:t>
      </w:r>
      <w:r w:rsidR="00C57496">
        <w:rPr>
          <w:rFonts w:ascii="Arial" w:hAnsi="Arial" w:cs="Arial"/>
          <w:sz w:val="20"/>
          <w:szCs w:val="20"/>
          <w:lang w:val="en-AU"/>
        </w:rPr>
        <w:t xml:space="preserve"> </w:t>
      </w:r>
      <w:r w:rsidR="00701A7B">
        <w:rPr>
          <w:rFonts w:ascii="Arial" w:hAnsi="Arial" w:cs="Arial"/>
          <w:sz w:val="20"/>
          <w:szCs w:val="20"/>
          <w:lang w:val="en-AU"/>
        </w:rPr>
        <w:t xml:space="preserve">These changes will be discussed in relation to the knowledge brokering activities used and within the context of individual projects. Traditional and novel research outcomes will also be recognised. </w:t>
      </w:r>
      <w:bookmarkStart w:id="0" w:name="_GoBack"/>
      <w:bookmarkEnd w:id="0"/>
    </w:p>
    <w:p w14:paraId="75039502" w14:textId="28F2465A" w:rsidR="00D919DA" w:rsidRPr="00701A7B" w:rsidRDefault="007231EB" w:rsidP="00701A7B">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701A7B"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62705" w14:textId="77777777" w:rsidR="007709F0" w:rsidRDefault="007709F0" w:rsidP="003C4168">
      <w:pPr>
        <w:spacing w:after="0" w:line="240" w:lineRule="auto"/>
      </w:pPr>
      <w:r>
        <w:separator/>
      </w:r>
    </w:p>
  </w:endnote>
  <w:endnote w:type="continuationSeparator" w:id="0">
    <w:p w14:paraId="20711F0C" w14:textId="77777777" w:rsidR="007709F0" w:rsidRDefault="007709F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D08A2" w14:textId="77777777" w:rsidR="007709F0" w:rsidRDefault="007709F0" w:rsidP="003C4168">
      <w:pPr>
        <w:spacing w:after="0" w:line="240" w:lineRule="auto"/>
      </w:pPr>
      <w:r>
        <w:separator/>
      </w:r>
    </w:p>
  </w:footnote>
  <w:footnote w:type="continuationSeparator" w:id="0">
    <w:p w14:paraId="17009C48" w14:textId="77777777" w:rsidR="007709F0" w:rsidRDefault="007709F0" w:rsidP="003C4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6883" w14:textId="0FD0F147" w:rsidR="00696A08" w:rsidRDefault="00457737">
    <w:pPr>
      <w:pStyle w:val="Header"/>
    </w:pPr>
    <w:r>
      <w:rPr>
        <w:noProof/>
        <w:lang w:val="en-AU" w:eastAsia="en-AU"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9760E"/>
    <w:rsid w:val="004A3322"/>
    <w:rsid w:val="004A4323"/>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1A7B"/>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CD2"/>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5749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4A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A9"/>
    <w:rsid w:val="000B1A43"/>
    <w:rsid w:val="001220AB"/>
    <w:rsid w:val="002C7AAC"/>
    <w:rsid w:val="003244E1"/>
    <w:rsid w:val="004375F5"/>
    <w:rsid w:val="0049196F"/>
    <w:rsid w:val="00BC4A3A"/>
    <w:rsid w:val="00C037CA"/>
    <w:rsid w:val="00C71FE6"/>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720FBC03</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Sharon Mickan</cp:lastModifiedBy>
  <cp:revision>2</cp:revision>
  <cp:lastPrinted>2018-04-13T03:26:00Z</cp:lastPrinted>
  <dcterms:created xsi:type="dcterms:W3CDTF">2018-04-27T02:14:00Z</dcterms:created>
  <dcterms:modified xsi:type="dcterms:W3CDTF">2018-04-27T02:14:00Z</dcterms:modified>
</cp:coreProperties>
</file>