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D10AE" w14:textId="0923FCA8" w:rsidR="005922AD" w:rsidRPr="00B712CF" w:rsidRDefault="008F4E41" w:rsidP="00D55FC1">
      <w:pPr>
        <w:pStyle w:val="IWAPaperTitle"/>
        <w:adjustRightInd w:val="0"/>
        <w:snapToGrid w:val="0"/>
        <w:jc w:val="left"/>
        <w:rPr>
          <w:rFonts w:eastAsia="DengXian"/>
          <w:sz w:val="24"/>
          <w:szCs w:val="24"/>
          <w:lang w:eastAsia="zh-CN"/>
        </w:rPr>
      </w:pPr>
      <w:r w:rsidRPr="00B712CF">
        <w:rPr>
          <w:sz w:val="24"/>
          <w:szCs w:val="24"/>
        </w:rPr>
        <w:t>Genotype-phenotype correlation in 1015 Chinese families with spinocerebellar ataxia type 3</w:t>
      </w:r>
    </w:p>
    <w:p w14:paraId="67EBC5CA" w14:textId="77777777" w:rsidR="00127D1E" w:rsidRPr="00B712CF" w:rsidRDefault="00127D1E" w:rsidP="00127D1E">
      <w:pPr>
        <w:pStyle w:val="IWAPaperTitle"/>
        <w:adjustRightInd w:val="0"/>
        <w:snapToGrid w:val="0"/>
        <w:jc w:val="both"/>
        <w:rPr>
          <w:rFonts w:eastAsia="DengXian"/>
          <w:sz w:val="24"/>
          <w:szCs w:val="24"/>
          <w:lang w:eastAsia="zh-CN"/>
        </w:rPr>
      </w:pPr>
    </w:p>
    <w:p w14:paraId="149DE095" w14:textId="77777777" w:rsidR="00127D1E" w:rsidRPr="00B712CF" w:rsidRDefault="008F4E41" w:rsidP="00127D1E">
      <w:pPr>
        <w:pStyle w:val="Authornames"/>
        <w:snapToGrid w:val="0"/>
        <w:spacing w:before="0" w:after="0" w:line="240" w:lineRule="auto"/>
        <w:jc w:val="both"/>
        <w:rPr>
          <w:rFonts w:eastAsia="DengXian"/>
          <w:b w:val="0"/>
          <w:bCs w:val="0"/>
          <w:sz w:val="24"/>
          <w:szCs w:val="24"/>
          <w:lang w:eastAsia="zh-CN"/>
        </w:rPr>
      </w:pPr>
      <w:r w:rsidRPr="00B712CF">
        <w:rPr>
          <w:b w:val="0"/>
          <w:bCs w:val="0"/>
          <w:sz w:val="24"/>
          <w:szCs w:val="24"/>
        </w:rPr>
        <w:t>Zhi-Ying Wu</w:t>
      </w:r>
    </w:p>
    <w:p w14:paraId="39D9B7D1" w14:textId="77777777" w:rsidR="00127D1E" w:rsidRPr="00B712CF" w:rsidRDefault="00127D1E" w:rsidP="00D55FC1">
      <w:pPr>
        <w:adjustRightInd w:val="0"/>
        <w:snapToGrid w:val="0"/>
        <w:jc w:val="both"/>
        <w:rPr>
          <w:rFonts w:eastAsia="DengXian"/>
          <w:lang w:eastAsia="zh-CN"/>
        </w:rPr>
      </w:pPr>
    </w:p>
    <w:p w14:paraId="4076ABE4" w14:textId="75B898DB" w:rsidR="00905510" w:rsidRPr="00B712CF" w:rsidRDefault="00905510" w:rsidP="00127D1E">
      <w:pPr>
        <w:pStyle w:val="Authornames"/>
        <w:snapToGrid w:val="0"/>
        <w:spacing w:before="0" w:after="0" w:line="240" w:lineRule="auto"/>
        <w:jc w:val="both"/>
        <w:rPr>
          <w:rFonts w:eastAsia="DengXian"/>
          <w:b w:val="0"/>
          <w:bCs w:val="0"/>
          <w:sz w:val="24"/>
          <w:szCs w:val="24"/>
          <w:lang w:eastAsia="zh-CN"/>
        </w:rPr>
      </w:pPr>
      <w:r w:rsidRPr="00B712CF">
        <w:rPr>
          <w:b w:val="0"/>
          <w:bCs w:val="0"/>
          <w:sz w:val="24"/>
          <w:szCs w:val="24"/>
        </w:rPr>
        <w:t xml:space="preserve">Department of Medical Genetics and Center for Rare Diseases, </w:t>
      </w:r>
      <w:bookmarkStart w:id="0" w:name="OLE_LINK14"/>
      <w:bookmarkStart w:id="1" w:name="OLE_LINK19"/>
      <w:r w:rsidRPr="00B712CF">
        <w:rPr>
          <w:b w:val="0"/>
          <w:bCs w:val="0"/>
          <w:sz w:val="24"/>
          <w:szCs w:val="24"/>
        </w:rPr>
        <w:t>Second Affiliated Hospital</w:t>
      </w:r>
      <w:bookmarkEnd w:id="0"/>
      <w:bookmarkEnd w:id="1"/>
      <w:r w:rsidRPr="00B712CF">
        <w:rPr>
          <w:b w:val="0"/>
          <w:bCs w:val="0"/>
          <w:sz w:val="24"/>
          <w:szCs w:val="24"/>
        </w:rPr>
        <w:t>, Zhejiang University School of Medicine</w:t>
      </w:r>
      <w:r w:rsidR="00127D1E" w:rsidRPr="00B712CF">
        <w:rPr>
          <w:rFonts w:eastAsia="DengXian" w:hint="eastAsia"/>
          <w:b w:val="0"/>
          <w:bCs w:val="0"/>
          <w:sz w:val="24"/>
          <w:szCs w:val="24"/>
          <w:lang w:eastAsia="zh-CN"/>
        </w:rPr>
        <w:t>,</w:t>
      </w:r>
      <w:r w:rsidRPr="00B712CF">
        <w:rPr>
          <w:b w:val="0"/>
          <w:bCs w:val="0"/>
          <w:sz w:val="24"/>
          <w:szCs w:val="24"/>
        </w:rPr>
        <w:t xml:space="preserve"> Hangzhou, China</w:t>
      </w:r>
    </w:p>
    <w:p w14:paraId="672A6659" w14:textId="77777777" w:rsidR="005922AD" w:rsidRPr="00B712CF" w:rsidRDefault="005922AD" w:rsidP="00127D1E">
      <w:pPr>
        <w:pStyle w:val="IWAAuthoraddress"/>
        <w:snapToGrid w:val="0"/>
        <w:spacing w:line="240" w:lineRule="auto"/>
        <w:jc w:val="both"/>
        <w:rPr>
          <w:sz w:val="24"/>
          <w:szCs w:val="24"/>
        </w:rPr>
      </w:pPr>
    </w:p>
    <w:p w14:paraId="593DFE3C" w14:textId="77777777" w:rsidR="00D55FC1" w:rsidRPr="00B712CF" w:rsidRDefault="001F3F9D" w:rsidP="00D55FC1">
      <w:pPr>
        <w:pStyle w:val="IWAKeyword"/>
        <w:snapToGrid w:val="0"/>
        <w:spacing w:line="240" w:lineRule="auto"/>
        <w:jc w:val="both"/>
        <w:rPr>
          <w:rFonts w:eastAsia="DengXian"/>
          <w:b/>
          <w:bCs/>
          <w:sz w:val="24"/>
          <w:szCs w:val="24"/>
          <w:lang w:eastAsia="zh-CN"/>
        </w:rPr>
      </w:pPr>
      <w:r w:rsidRPr="00B712CF">
        <w:rPr>
          <w:b/>
          <w:bCs/>
          <w:sz w:val="24"/>
          <w:szCs w:val="24"/>
        </w:rPr>
        <w:t>ABSTRACT</w:t>
      </w:r>
      <w:bookmarkStart w:id="2" w:name="OLE_LINK165"/>
      <w:bookmarkStart w:id="3" w:name="OLE_LINK143"/>
    </w:p>
    <w:p w14:paraId="08842424" w14:textId="77777777" w:rsidR="00D55FC1" w:rsidRPr="00B712CF" w:rsidRDefault="00D55FC1" w:rsidP="00D55FC1">
      <w:pPr>
        <w:pStyle w:val="IWAKeyword"/>
        <w:snapToGrid w:val="0"/>
        <w:spacing w:line="240" w:lineRule="auto"/>
        <w:jc w:val="both"/>
        <w:rPr>
          <w:rFonts w:eastAsia="DengXian"/>
          <w:b/>
          <w:bCs/>
          <w:sz w:val="24"/>
          <w:szCs w:val="24"/>
          <w:lang w:eastAsia="zh-CN"/>
        </w:rPr>
      </w:pPr>
    </w:p>
    <w:p w14:paraId="48BF064B" w14:textId="60C22CC3" w:rsidR="003925BC" w:rsidRPr="00B712CF" w:rsidRDefault="003925BC" w:rsidP="00D55FC1">
      <w:pPr>
        <w:pStyle w:val="IWAKeyword"/>
        <w:snapToGrid w:val="0"/>
        <w:spacing w:line="240" w:lineRule="auto"/>
        <w:jc w:val="both"/>
        <w:rPr>
          <w:rFonts w:eastAsia="DengXian"/>
          <w:b/>
          <w:bCs/>
          <w:sz w:val="24"/>
          <w:szCs w:val="24"/>
          <w:lang w:eastAsia="zh-CN"/>
        </w:rPr>
      </w:pPr>
      <w:r w:rsidRPr="00B712CF">
        <w:rPr>
          <w:b/>
          <w:bCs/>
          <w:sz w:val="24"/>
          <w:szCs w:val="24"/>
        </w:rPr>
        <w:t>Introduction</w:t>
      </w:r>
      <w:bookmarkEnd w:id="2"/>
      <w:r w:rsidR="00D55FC1" w:rsidRPr="00B712CF">
        <w:rPr>
          <w:rFonts w:eastAsia="DengXian" w:hint="eastAsia"/>
          <w:b/>
          <w:bCs/>
          <w:sz w:val="24"/>
          <w:szCs w:val="24"/>
          <w:lang w:eastAsia="zh-CN"/>
        </w:rPr>
        <w:t>:</w:t>
      </w:r>
      <w:r w:rsidR="003B6B08" w:rsidRPr="00B712CF">
        <w:rPr>
          <w:b/>
          <w:bCs/>
          <w:sz w:val="24"/>
          <w:szCs w:val="24"/>
        </w:rPr>
        <w:t xml:space="preserve"> </w:t>
      </w:r>
      <w:r w:rsidR="003B6B08" w:rsidRPr="00B712CF">
        <w:rPr>
          <w:sz w:val="24"/>
          <w:szCs w:val="24"/>
        </w:rPr>
        <w:t xml:space="preserve">Given the diverse clinical manifestations and significant prevalence of spinocerebellar ataxia type 3 (SCA3) in China, we conducted an in-depth analysis </w:t>
      </w:r>
      <w:r w:rsidR="00D55FC1" w:rsidRPr="00B712CF">
        <w:rPr>
          <w:rFonts w:eastAsia="DengXian" w:hint="eastAsia"/>
          <w:sz w:val="24"/>
          <w:szCs w:val="24"/>
          <w:lang w:eastAsia="zh-CN"/>
        </w:rPr>
        <w:t>in</w:t>
      </w:r>
      <w:r w:rsidR="003B6B08" w:rsidRPr="00B712CF">
        <w:rPr>
          <w:sz w:val="24"/>
          <w:szCs w:val="24"/>
        </w:rPr>
        <w:t xml:space="preserve"> a large cohort of Chinese SCA3 patients.</w:t>
      </w:r>
    </w:p>
    <w:p w14:paraId="63613B58" w14:textId="3AB803F5" w:rsidR="003925BC" w:rsidRPr="00B712CF" w:rsidRDefault="003925BC" w:rsidP="00D55FC1">
      <w:pPr>
        <w:adjustRightInd w:val="0"/>
        <w:snapToGrid w:val="0"/>
        <w:jc w:val="both"/>
        <w:rPr>
          <w:rFonts w:ascii="Arial" w:hAnsi="Arial" w:cs="Arial"/>
          <w:b/>
          <w:bCs/>
        </w:rPr>
      </w:pPr>
      <w:r w:rsidRPr="00B712CF">
        <w:rPr>
          <w:rFonts w:ascii="Arial" w:hAnsi="Arial" w:cs="Arial"/>
          <w:b/>
          <w:bCs/>
        </w:rPr>
        <w:t>Methods</w:t>
      </w:r>
      <w:r w:rsidR="00D55FC1" w:rsidRPr="00B712CF">
        <w:rPr>
          <w:rFonts w:ascii="Arial" w:eastAsia="DengXian" w:hAnsi="Arial" w:cs="Arial" w:hint="eastAsia"/>
          <w:b/>
          <w:bCs/>
          <w:lang w:eastAsia="zh-CN"/>
        </w:rPr>
        <w:t xml:space="preserve">: </w:t>
      </w:r>
      <w:r w:rsidRPr="00B712CF">
        <w:rPr>
          <w:rFonts w:ascii="Arial" w:hAnsi="Arial" w:cs="Arial"/>
        </w:rPr>
        <w:t xml:space="preserve">Over the past 15 years, 1062 patients and 271 premanifest individuals from 1015 genetically confirmed SCA3 families </w:t>
      </w:r>
      <w:r w:rsidR="009451AD" w:rsidRPr="00B712CF">
        <w:rPr>
          <w:rFonts w:ascii="Arial" w:eastAsia="DengXian" w:hAnsi="Arial" w:cs="Arial" w:hint="eastAsia"/>
          <w:lang w:eastAsia="zh-CN"/>
        </w:rPr>
        <w:t xml:space="preserve">were </w:t>
      </w:r>
      <w:r w:rsidR="009451AD" w:rsidRPr="00B712CF">
        <w:rPr>
          <w:rFonts w:ascii="Arial" w:hAnsi="Arial" w:cs="Arial"/>
        </w:rPr>
        <w:t xml:space="preserve">enrolled </w:t>
      </w:r>
      <w:r w:rsidRPr="00B712CF">
        <w:rPr>
          <w:rFonts w:ascii="Arial" w:hAnsi="Arial" w:cs="Arial"/>
        </w:rPr>
        <w:t xml:space="preserve">across three leading academic hospitals in China. </w:t>
      </w:r>
      <w:r w:rsidR="009451AD" w:rsidRPr="00B712CF">
        <w:rPr>
          <w:rFonts w:ascii="Arial" w:eastAsia="DengXian" w:hAnsi="Arial" w:cs="Arial" w:hint="eastAsia"/>
          <w:lang w:eastAsia="zh-CN"/>
        </w:rPr>
        <w:t>T</w:t>
      </w:r>
      <w:r w:rsidRPr="00B712CF">
        <w:rPr>
          <w:rFonts w:ascii="Arial" w:hAnsi="Arial" w:cs="Arial"/>
        </w:rPr>
        <w:t>he clinical profile and the genotype-phenotype correlation</w:t>
      </w:r>
      <w:r w:rsidR="009451AD" w:rsidRPr="00B712CF">
        <w:rPr>
          <w:rFonts w:ascii="Arial" w:eastAsia="DengXian" w:hAnsi="Arial" w:cs="Arial" w:hint="eastAsia"/>
          <w:lang w:eastAsia="zh-CN"/>
        </w:rPr>
        <w:t xml:space="preserve"> </w:t>
      </w:r>
      <w:r w:rsidR="009451AD" w:rsidRPr="00B712CF">
        <w:rPr>
          <w:rFonts w:ascii="Arial" w:eastAsia="DengXian" w:hAnsi="Arial" w:cs="Arial"/>
          <w:lang w:eastAsia="zh-CN"/>
        </w:rPr>
        <w:t>were</w:t>
      </w:r>
      <w:r w:rsidR="009451AD" w:rsidRPr="00B712CF">
        <w:rPr>
          <w:rFonts w:ascii="Arial" w:eastAsia="DengXian" w:hAnsi="Arial" w:cs="Arial" w:hint="eastAsia"/>
          <w:lang w:eastAsia="zh-CN"/>
        </w:rPr>
        <w:t xml:space="preserve"> </w:t>
      </w:r>
      <w:r w:rsidR="009451AD" w:rsidRPr="00B712CF">
        <w:rPr>
          <w:rFonts w:ascii="Arial" w:hAnsi="Arial" w:cs="Arial"/>
        </w:rPr>
        <w:t>explored</w:t>
      </w:r>
      <w:r w:rsidRPr="00B712CF">
        <w:rPr>
          <w:rFonts w:ascii="Arial" w:hAnsi="Arial" w:cs="Arial"/>
        </w:rPr>
        <w:t>.</w:t>
      </w:r>
    </w:p>
    <w:p w14:paraId="017E5C23" w14:textId="28AAF7C8" w:rsidR="003508FB" w:rsidRPr="00B712CF" w:rsidRDefault="003925BC" w:rsidP="00D55FC1">
      <w:pPr>
        <w:adjustRightInd w:val="0"/>
        <w:snapToGrid w:val="0"/>
        <w:jc w:val="both"/>
        <w:rPr>
          <w:rFonts w:ascii="Arial" w:hAnsi="Arial" w:cs="Arial"/>
          <w:lang w:val="en-US" w:eastAsia="zh-CN"/>
        </w:rPr>
      </w:pPr>
      <w:r w:rsidRPr="00B712CF">
        <w:rPr>
          <w:rFonts w:ascii="Arial" w:hAnsi="Arial" w:cs="Arial"/>
          <w:b/>
          <w:bCs/>
        </w:rPr>
        <w:t>Results</w:t>
      </w:r>
      <w:bookmarkStart w:id="4" w:name="OLE_LINK144"/>
      <w:r w:rsidR="00D55FC1" w:rsidRPr="00B712CF">
        <w:rPr>
          <w:rFonts w:ascii="Arial" w:eastAsia="DengXian" w:hAnsi="Arial" w:cs="Arial" w:hint="eastAsia"/>
          <w:b/>
          <w:bCs/>
          <w:lang w:eastAsia="zh-CN"/>
        </w:rPr>
        <w:t xml:space="preserve">: </w:t>
      </w:r>
      <w:r w:rsidRPr="00B712CF">
        <w:rPr>
          <w:rFonts w:ascii="Arial" w:hAnsi="Arial" w:cs="Arial"/>
        </w:rPr>
        <w:t xml:space="preserve">Among the 1333 SCA3 individuals, 1326 (99.4%) were of Han Chinese ethnicity, while the remaining 7 belonged to </w:t>
      </w:r>
      <w:r w:rsidR="00905510" w:rsidRPr="00B712CF">
        <w:rPr>
          <w:rFonts w:ascii="Arial" w:hAnsi="Arial" w:cs="Arial"/>
        </w:rPr>
        <w:t>four</w:t>
      </w:r>
      <w:r w:rsidRPr="00B712CF">
        <w:rPr>
          <w:rFonts w:ascii="Arial" w:hAnsi="Arial" w:cs="Arial"/>
        </w:rPr>
        <w:t xml:space="preserve"> ethnic minorities. Family history was positive in 908 of the 974 families (93.2%), with </w:t>
      </w:r>
      <w:bookmarkStart w:id="5" w:name="OLE_LINK141"/>
      <w:r w:rsidR="009B4412" w:rsidRPr="00B712CF">
        <w:rPr>
          <w:rFonts w:ascii="Arial" w:hAnsi="Arial" w:cs="Arial" w:hint="eastAsia"/>
          <w:lang w:eastAsia="zh-CN"/>
        </w:rPr>
        <w:t>40.6% sh</w:t>
      </w:r>
      <w:r w:rsidR="009B4412" w:rsidRPr="00B712CF">
        <w:rPr>
          <w:rFonts w:ascii="Arial" w:hAnsi="Arial" w:cs="Arial"/>
          <w:lang w:val="en-US" w:eastAsia="zh-CN"/>
        </w:rPr>
        <w:t xml:space="preserve">owing </w:t>
      </w:r>
      <w:r w:rsidRPr="00B712CF">
        <w:rPr>
          <w:rFonts w:ascii="Arial" w:hAnsi="Arial" w:cs="Arial"/>
        </w:rPr>
        <w:t>paternal inheritance</w:t>
      </w:r>
      <w:bookmarkEnd w:id="5"/>
      <w:r w:rsidR="009B4412" w:rsidRPr="00B712CF">
        <w:rPr>
          <w:rFonts w:ascii="Arial" w:hAnsi="Arial" w:cs="Arial"/>
        </w:rPr>
        <w:t>,</w:t>
      </w:r>
      <w:r w:rsidRPr="00B712CF">
        <w:rPr>
          <w:rFonts w:ascii="Arial" w:hAnsi="Arial" w:cs="Arial"/>
        </w:rPr>
        <w:t xml:space="preserve"> </w:t>
      </w:r>
      <w:r w:rsidR="009B4412" w:rsidRPr="00B712CF">
        <w:rPr>
          <w:rFonts w:ascii="Arial" w:hAnsi="Arial" w:cs="Arial"/>
        </w:rPr>
        <w:t xml:space="preserve">35.8 </w:t>
      </w:r>
      <w:r w:rsidRPr="00B712CF">
        <w:rPr>
          <w:rFonts w:ascii="Arial" w:hAnsi="Arial" w:cs="Arial"/>
        </w:rPr>
        <w:t>%</w:t>
      </w:r>
      <w:r w:rsidR="009B4412" w:rsidRPr="00B712CF">
        <w:rPr>
          <w:rFonts w:ascii="Arial" w:hAnsi="Arial" w:cs="Arial"/>
        </w:rPr>
        <w:t xml:space="preserve"> maternal inheritance,</w:t>
      </w:r>
      <w:r w:rsidR="00541992" w:rsidRPr="00B712CF">
        <w:rPr>
          <w:rFonts w:ascii="Arial" w:hAnsi="Arial" w:cs="Arial" w:hint="eastAsia"/>
          <w:lang w:eastAsia="zh-CN"/>
        </w:rPr>
        <w:t xml:space="preserve"> </w:t>
      </w:r>
      <w:bookmarkStart w:id="6" w:name="OLE_LINK170"/>
      <w:r w:rsidR="00541992" w:rsidRPr="00B712CF">
        <w:rPr>
          <w:rFonts w:ascii="Arial" w:hAnsi="Arial" w:cs="Arial"/>
          <w:lang w:val="en-US" w:eastAsia="zh-CN"/>
        </w:rPr>
        <w:t>and</w:t>
      </w:r>
      <w:r w:rsidR="00541992" w:rsidRPr="00B712CF">
        <w:rPr>
          <w:rFonts w:ascii="Segoe UI" w:hAnsi="Segoe UI" w:cs="Segoe UI"/>
          <w:spacing w:val="1"/>
          <w:shd w:val="clear" w:color="auto" w:fill="FFFFFF"/>
        </w:rPr>
        <w:t xml:space="preserve"> </w:t>
      </w:r>
      <w:r w:rsidR="00541992" w:rsidRPr="00B712CF">
        <w:rPr>
          <w:rFonts w:ascii="Arial" w:hAnsi="Arial" w:cs="Arial" w:hint="eastAsia"/>
          <w:lang w:eastAsia="zh-CN"/>
        </w:rPr>
        <w:t>t</w:t>
      </w:r>
      <w:r w:rsidR="00541992" w:rsidRPr="00B712CF">
        <w:rPr>
          <w:rFonts w:ascii="Arial" w:hAnsi="Arial" w:cs="Arial"/>
          <w:lang w:eastAsia="zh-CN"/>
        </w:rPr>
        <w:t>he remaining 16.8%</w:t>
      </w:r>
      <w:r w:rsidR="00541992" w:rsidRPr="00B712CF">
        <w:rPr>
          <w:rFonts w:ascii="Segoe UI" w:hAnsi="Segoe UI" w:cs="Segoe UI"/>
          <w:spacing w:val="1"/>
          <w:shd w:val="clear" w:color="auto" w:fill="FFFFFF"/>
        </w:rPr>
        <w:t xml:space="preserve"> </w:t>
      </w:r>
      <w:r w:rsidR="00541992" w:rsidRPr="00B712CF">
        <w:rPr>
          <w:rFonts w:ascii="Arial" w:hAnsi="Arial" w:cs="Arial"/>
          <w:lang w:eastAsia="zh-CN"/>
        </w:rPr>
        <w:t>could not be definitively attributed to either parent</w:t>
      </w:r>
      <w:bookmarkEnd w:id="6"/>
      <w:r w:rsidRPr="00B712CF">
        <w:rPr>
          <w:rFonts w:ascii="Arial" w:hAnsi="Arial" w:cs="Arial" w:hint="eastAsia"/>
          <w:lang w:eastAsia="zh-CN"/>
        </w:rPr>
        <w:t>.</w:t>
      </w:r>
      <w:r w:rsidRPr="00B712CF">
        <w:rPr>
          <w:rFonts w:ascii="Arial" w:hAnsi="Arial" w:cs="Arial"/>
        </w:rPr>
        <w:t xml:space="preserve"> The mean age at onset (AAO) was 37.6 </w:t>
      </w:r>
      <w:bookmarkStart w:id="7" w:name="OLE_LINK142"/>
      <w:r w:rsidRPr="00B712CF">
        <w:rPr>
          <w:rFonts w:ascii="Arial" w:hAnsi="Arial" w:cs="Arial"/>
        </w:rPr>
        <w:t>±</w:t>
      </w:r>
      <w:bookmarkEnd w:id="7"/>
      <w:r w:rsidRPr="00B712CF">
        <w:rPr>
          <w:rFonts w:ascii="Arial" w:hAnsi="Arial" w:cs="Arial"/>
        </w:rPr>
        <w:t xml:space="preserve"> 11.7 years (range: 4–72 years), and the mean number of expanded CAG repeats (expCAG) was 74.0 ± 4.0 (range: 52–87 repeats). A quadratic model best described the relationship between AAO and expCAG (r² = 0.612, </w:t>
      </w:r>
      <w:r w:rsidRPr="00B712CF">
        <w:rPr>
          <w:rFonts w:ascii="Arial" w:hAnsi="Arial" w:cs="Arial"/>
          <w:i/>
          <w:iCs/>
        </w:rPr>
        <w:t>p</w:t>
      </w:r>
      <w:r w:rsidRPr="00B712CF">
        <w:rPr>
          <w:rFonts w:ascii="Arial" w:hAnsi="Arial" w:cs="Arial"/>
        </w:rPr>
        <w:t xml:space="preserve"> &lt; 0.001). </w:t>
      </w:r>
      <w:r w:rsidR="00905510" w:rsidRPr="00B712CF">
        <w:rPr>
          <w:rFonts w:ascii="Arial" w:hAnsi="Arial" w:cs="Arial"/>
        </w:rPr>
        <w:t xml:space="preserve">The mean number of expanded CAG repeats (expCAG) was slightly higher in patients with paternal inheritance (74.4 ± 3.8) compared to those with maternal inheritance (73.8 ± 3.8, t-test, </w:t>
      </w:r>
      <w:r w:rsidR="00905510" w:rsidRPr="00B712CF">
        <w:rPr>
          <w:rFonts w:ascii="Arial" w:hAnsi="Arial" w:cs="Arial"/>
          <w:i/>
          <w:iCs/>
        </w:rPr>
        <w:t>p</w:t>
      </w:r>
      <w:r w:rsidR="00905510" w:rsidRPr="00B712CF">
        <w:rPr>
          <w:rFonts w:ascii="Arial" w:hAnsi="Arial" w:cs="Arial"/>
        </w:rPr>
        <w:t xml:space="preserve"> = 0.0261).</w:t>
      </w:r>
      <w:r w:rsidR="00946F24" w:rsidRPr="00B712CF">
        <w:rPr>
          <w:rFonts w:ascii="Arial" w:eastAsia="DengXian" w:hAnsi="Arial" w:cs="Arial" w:hint="eastAsia"/>
          <w:lang w:eastAsia="zh-CN"/>
        </w:rPr>
        <w:t xml:space="preserve"> </w:t>
      </w:r>
      <w:r w:rsidRPr="00B712CF">
        <w:rPr>
          <w:rFonts w:ascii="Arial" w:hAnsi="Arial" w:cs="Arial"/>
        </w:rPr>
        <w:t>Clinical profiles were assessed in 105</w:t>
      </w:r>
      <w:r w:rsidR="002D1E02" w:rsidRPr="00B712CF">
        <w:rPr>
          <w:rFonts w:ascii="Arial" w:hAnsi="Arial" w:cs="Arial"/>
        </w:rPr>
        <w:t>0</w:t>
      </w:r>
      <w:r w:rsidRPr="00B712CF">
        <w:rPr>
          <w:rFonts w:ascii="Arial" w:hAnsi="Arial" w:cs="Arial"/>
        </w:rPr>
        <w:t xml:space="preserve"> SCA3 patients. Gait ataxia was the most common initial symptom, affecting 91.1% of patients. Among those with non-gait ataxia onset, diplopia was the most frequent presenting symptom (18.8%), followed by dizziness (11.1%) and dysarthria (11.1%). </w:t>
      </w:r>
      <w:r w:rsidR="00946F24" w:rsidRPr="00B712CF">
        <w:rPr>
          <w:rFonts w:ascii="Arial" w:eastAsia="DengXian" w:hAnsi="Arial" w:cs="Arial" w:hint="eastAsia"/>
          <w:lang w:eastAsia="zh-CN"/>
        </w:rPr>
        <w:t xml:space="preserve"> </w:t>
      </w:r>
      <w:r w:rsidRPr="00B712CF">
        <w:rPr>
          <w:rFonts w:ascii="Arial" w:hAnsi="Arial" w:cs="Arial"/>
        </w:rPr>
        <w:t>The 105</w:t>
      </w:r>
      <w:r w:rsidR="002D1E02" w:rsidRPr="00B712CF">
        <w:rPr>
          <w:rFonts w:ascii="Arial" w:hAnsi="Arial" w:cs="Arial"/>
        </w:rPr>
        <w:t>0</w:t>
      </w:r>
      <w:r w:rsidRPr="00B712CF">
        <w:rPr>
          <w:rFonts w:ascii="Arial" w:hAnsi="Arial" w:cs="Arial"/>
        </w:rPr>
        <w:t xml:space="preserve"> SCA3 patients were classified into five subtypes based on clinical presentation. </w:t>
      </w:r>
      <w:r w:rsidR="00492755" w:rsidRPr="00B712CF">
        <w:rPr>
          <w:rFonts w:ascii="Arial" w:hAnsi="Arial" w:cs="Arial"/>
          <w:lang w:eastAsia="zh-CN"/>
        </w:rPr>
        <w:t>Subtypes I, II, and III comprised 88 patients (8.4%), 710 patients (67.</w:t>
      </w:r>
      <w:r w:rsidR="003B6B08" w:rsidRPr="00B712CF">
        <w:rPr>
          <w:rFonts w:ascii="Arial" w:hAnsi="Arial" w:cs="Arial"/>
          <w:lang w:eastAsia="zh-CN"/>
        </w:rPr>
        <w:t>6</w:t>
      </w:r>
      <w:r w:rsidR="00492755" w:rsidRPr="00B712CF">
        <w:rPr>
          <w:rFonts w:ascii="Arial" w:hAnsi="Arial" w:cs="Arial"/>
          <w:lang w:eastAsia="zh-CN"/>
        </w:rPr>
        <w:t>%), and 235 patients (22.</w:t>
      </w:r>
      <w:r w:rsidR="003B6B08" w:rsidRPr="00B712CF">
        <w:rPr>
          <w:rFonts w:ascii="Arial" w:hAnsi="Arial" w:cs="Arial"/>
          <w:lang w:eastAsia="zh-CN"/>
        </w:rPr>
        <w:t>4</w:t>
      </w:r>
      <w:r w:rsidR="00492755" w:rsidRPr="00B712CF">
        <w:rPr>
          <w:rFonts w:ascii="Arial" w:hAnsi="Arial" w:cs="Arial"/>
          <w:lang w:eastAsia="zh-CN"/>
        </w:rPr>
        <w:t xml:space="preserve">%), respectively. The mean </w:t>
      </w:r>
      <w:r w:rsidR="003B6B08" w:rsidRPr="00B712CF">
        <w:rPr>
          <w:rFonts w:ascii="Arial" w:hAnsi="Arial" w:cs="Arial"/>
          <w:lang w:eastAsia="zh-CN"/>
        </w:rPr>
        <w:t>expCAG in subtypes I, II and III</w:t>
      </w:r>
      <w:r w:rsidR="00492755" w:rsidRPr="00B712CF">
        <w:rPr>
          <w:rFonts w:ascii="Arial" w:hAnsi="Arial" w:cs="Arial"/>
          <w:lang w:eastAsia="zh-CN"/>
        </w:rPr>
        <w:t xml:space="preserve"> w</w:t>
      </w:r>
      <w:r w:rsidR="003B6B08" w:rsidRPr="00B712CF">
        <w:rPr>
          <w:rFonts w:ascii="Arial" w:hAnsi="Arial" w:cs="Arial"/>
          <w:lang w:eastAsia="zh-CN"/>
        </w:rPr>
        <w:t>ere</w:t>
      </w:r>
      <w:r w:rsidR="00492755" w:rsidRPr="00B712CF">
        <w:rPr>
          <w:rFonts w:ascii="Arial" w:hAnsi="Arial" w:cs="Arial"/>
          <w:lang w:eastAsia="zh-CN"/>
        </w:rPr>
        <w:t xml:space="preserve"> 79.8</w:t>
      </w:r>
      <w:r w:rsidR="003B6B08" w:rsidRPr="00B712CF">
        <w:rPr>
          <w:rFonts w:ascii="Arial" w:hAnsi="Arial" w:cs="Arial"/>
          <w:lang w:eastAsia="zh-CN"/>
        </w:rPr>
        <w:t xml:space="preserve">, </w:t>
      </w:r>
      <w:r w:rsidR="00492755" w:rsidRPr="00B712CF">
        <w:rPr>
          <w:rFonts w:ascii="Arial" w:hAnsi="Arial" w:cs="Arial"/>
          <w:lang w:eastAsia="zh-CN"/>
        </w:rPr>
        <w:t>74.5 and 70.3</w:t>
      </w:r>
      <w:r w:rsidR="003B6B08" w:rsidRPr="00B712CF">
        <w:rPr>
          <w:rFonts w:ascii="Arial" w:hAnsi="Arial" w:cs="Arial"/>
          <w:lang w:eastAsia="zh-CN"/>
        </w:rPr>
        <w:t>, respectively</w:t>
      </w:r>
      <w:r w:rsidR="00492755" w:rsidRPr="00B712CF">
        <w:rPr>
          <w:rFonts w:ascii="Arial" w:hAnsi="Arial" w:cs="Arial"/>
          <w:lang w:eastAsia="zh-CN"/>
        </w:rPr>
        <w:t xml:space="preserve">. The mean </w:t>
      </w:r>
      <w:r w:rsidR="003B6B08" w:rsidRPr="00B712CF">
        <w:rPr>
          <w:rFonts w:ascii="Arial" w:hAnsi="Arial" w:cs="Arial"/>
          <w:lang w:eastAsia="zh-CN"/>
        </w:rPr>
        <w:t xml:space="preserve">AAO </w:t>
      </w:r>
      <w:r w:rsidR="00492755" w:rsidRPr="00B712CF">
        <w:rPr>
          <w:rFonts w:ascii="Arial" w:hAnsi="Arial" w:cs="Arial"/>
          <w:lang w:eastAsia="zh-CN"/>
        </w:rPr>
        <w:t xml:space="preserve">was 18.5 years for Subtype I, 36.0 for Subtype II, and 51.8 for Subtype III. </w:t>
      </w:r>
      <w:r w:rsidR="003508FB" w:rsidRPr="00B712CF">
        <w:rPr>
          <w:rFonts w:ascii="Arial" w:hAnsi="Arial" w:cs="Arial"/>
          <w:lang w:eastAsia="zh-CN"/>
        </w:rPr>
        <w:t xml:space="preserve">Subtype IV included only 5 patients (0.5%) who exhibited parkinsonism-like features, with a mean expCAG of 69.8 repeats and a mean AAO of 41.7 years. The remaining 12 patients (1.1%) were classified as Subtype V, characterized by a higher number of expanded CAG repeats (mean: 78.8 ± 4.8) and an earlier AAO (mean: 22.4 ± 9.6 years). </w:t>
      </w:r>
    </w:p>
    <w:bookmarkEnd w:id="4"/>
    <w:p w14:paraId="0D0B940D" w14:textId="6DF7EA82" w:rsidR="005922AD" w:rsidRPr="00B712CF" w:rsidRDefault="003925BC" w:rsidP="00D55FC1">
      <w:pPr>
        <w:adjustRightInd w:val="0"/>
        <w:snapToGrid w:val="0"/>
        <w:jc w:val="both"/>
        <w:rPr>
          <w:rFonts w:ascii="Arial" w:eastAsia="DengXian" w:hAnsi="Arial" w:cs="Arial"/>
          <w:b/>
          <w:bCs/>
          <w:lang w:eastAsia="zh-CN"/>
        </w:rPr>
      </w:pPr>
      <w:r w:rsidRPr="00B712CF">
        <w:rPr>
          <w:rFonts w:ascii="Arial" w:hAnsi="Arial" w:cs="Arial"/>
          <w:b/>
          <w:bCs/>
        </w:rPr>
        <w:t>Conclusion</w:t>
      </w:r>
      <w:r w:rsidR="00D55FC1" w:rsidRPr="00B712CF">
        <w:rPr>
          <w:rFonts w:ascii="Arial" w:eastAsia="DengXian" w:hAnsi="Arial" w:cs="Arial" w:hint="eastAsia"/>
          <w:b/>
          <w:bCs/>
          <w:lang w:eastAsia="zh-CN"/>
        </w:rPr>
        <w:t xml:space="preserve">: </w:t>
      </w:r>
      <w:r w:rsidRPr="00B712CF">
        <w:rPr>
          <w:rFonts w:ascii="Arial" w:hAnsi="Arial" w:cs="Arial"/>
        </w:rPr>
        <w:t>Our study provides the most comprehensive genotype-phenotype correlation analysis in the largest coho</w:t>
      </w:r>
      <w:bookmarkStart w:id="8" w:name="OLE_LINK169"/>
      <w:r w:rsidRPr="00B712CF">
        <w:rPr>
          <w:rFonts w:ascii="Arial" w:hAnsi="Arial" w:cs="Arial"/>
        </w:rPr>
        <w:t xml:space="preserve">rt of SCA3 individuals to date, highlighting the </w:t>
      </w:r>
      <w:r w:rsidR="00F1519E" w:rsidRPr="00B712CF">
        <w:rPr>
          <w:rFonts w:ascii="Arial" w:hAnsi="Arial" w:cs="Arial"/>
        </w:rPr>
        <w:t xml:space="preserve">clinical </w:t>
      </w:r>
      <w:r w:rsidRPr="00B712CF">
        <w:rPr>
          <w:rFonts w:ascii="Arial" w:hAnsi="Arial" w:cs="Arial"/>
        </w:rPr>
        <w:t xml:space="preserve">heterogeneity </w:t>
      </w:r>
      <w:r w:rsidR="00F1519E" w:rsidRPr="00B712CF">
        <w:rPr>
          <w:rFonts w:ascii="Arial" w:hAnsi="Arial" w:cs="Arial"/>
        </w:rPr>
        <w:t>of the disease</w:t>
      </w:r>
      <w:r w:rsidRPr="00B712CF">
        <w:rPr>
          <w:rFonts w:ascii="Arial" w:hAnsi="Arial" w:cs="Arial"/>
        </w:rPr>
        <w:t>.</w:t>
      </w:r>
      <w:bookmarkEnd w:id="3"/>
      <w:bookmarkEnd w:id="8"/>
    </w:p>
    <w:sectPr w:rsidR="005922AD" w:rsidRPr="00B712CF" w:rsidSect="00B712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701" w:bottom="1440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EEE9E" w14:textId="77777777" w:rsidR="00C375A1" w:rsidRDefault="00C375A1" w:rsidP="004C4141">
      <w:r>
        <w:separator/>
      </w:r>
    </w:p>
  </w:endnote>
  <w:endnote w:type="continuationSeparator" w:id="0">
    <w:p w14:paraId="5F1D688C" w14:textId="77777777" w:rsidR="00C375A1" w:rsidRDefault="00C375A1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402FC1" w14:textId="77777777" w:rsidR="00D55FC1" w:rsidRDefault="00D55FC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0675B" w14:textId="77777777" w:rsidR="00D55FC1" w:rsidRDefault="00D55FC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38854" w14:textId="77777777" w:rsidR="00D55FC1" w:rsidRDefault="00D55FC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FF86D" w14:textId="77777777" w:rsidR="00C375A1" w:rsidRDefault="00C375A1" w:rsidP="004C4141">
      <w:r>
        <w:separator/>
      </w:r>
    </w:p>
  </w:footnote>
  <w:footnote w:type="continuationSeparator" w:id="0">
    <w:p w14:paraId="2D4D0822" w14:textId="77777777" w:rsidR="00C375A1" w:rsidRDefault="00C375A1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FC6E9" w14:textId="77777777" w:rsidR="00D55FC1" w:rsidRDefault="00D55FC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22327C3F" w:rsidR="004C4141" w:rsidRPr="009B0B6E" w:rsidRDefault="00F27F9D">
    <w:pPr>
      <w:pStyle w:val="a9"/>
      <w:rPr>
        <w:rFonts w:ascii="Abadi" w:hAnsi="Abadi"/>
      </w:rPr>
    </w:pPr>
    <w:r>
      <w:rPr>
        <w:rFonts w:ascii="Abadi" w:hAnsi="Abadi"/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C4E5D" w14:textId="2611F128" w:rsidR="00F27F9D" w:rsidRPr="00D55FC1" w:rsidRDefault="00F27F9D" w:rsidP="00D55FC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294980">
    <w:abstractNumId w:val="0"/>
  </w:num>
  <w:num w:numId="2" w16cid:durableId="1749159018">
    <w:abstractNumId w:val="0"/>
  </w:num>
  <w:num w:numId="3" w16cid:durableId="47919132">
    <w:abstractNumId w:val="0"/>
  </w:num>
  <w:num w:numId="4" w16cid:durableId="1630936760">
    <w:abstractNumId w:val="0"/>
  </w:num>
  <w:num w:numId="5" w16cid:durableId="1923634389">
    <w:abstractNumId w:val="1"/>
  </w:num>
  <w:num w:numId="6" w16cid:durableId="208267427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34E58"/>
    <w:rsid w:val="000749DC"/>
    <w:rsid w:val="000A1362"/>
    <w:rsid w:val="000B1A9F"/>
    <w:rsid w:val="000B1CB6"/>
    <w:rsid w:val="000B2D27"/>
    <w:rsid w:val="000C44FF"/>
    <w:rsid w:val="00104C64"/>
    <w:rsid w:val="00106F71"/>
    <w:rsid w:val="00127D1E"/>
    <w:rsid w:val="00144DC6"/>
    <w:rsid w:val="00153B31"/>
    <w:rsid w:val="00153CDA"/>
    <w:rsid w:val="0018342F"/>
    <w:rsid w:val="001A5D1D"/>
    <w:rsid w:val="001B1169"/>
    <w:rsid w:val="001C48EA"/>
    <w:rsid w:val="001E69F5"/>
    <w:rsid w:val="001F0A40"/>
    <w:rsid w:val="001F3F9D"/>
    <w:rsid w:val="00207285"/>
    <w:rsid w:val="00245841"/>
    <w:rsid w:val="002464D1"/>
    <w:rsid w:val="002613E5"/>
    <w:rsid w:val="002618F2"/>
    <w:rsid w:val="00277823"/>
    <w:rsid w:val="00284526"/>
    <w:rsid w:val="00296641"/>
    <w:rsid w:val="002C5B00"/>
    <w:rsid w:val="002D1E02"/>
    <w:rsid w:val="002D262A"/>
    <w:rsid w:val="002D7855"/>
    <w:rsid w:val="00326102"/>
    <w:rsid w:val="003508FB"/>
    <w:rsid w:val="00361FCC"/>
    <w:rsid w:val="0039255A"/>
    <w:rsid w:val="003925BC"/>
    <w:rsid w:val="0039260D"/>
    <w:rsid w:val="00394433"/>
    <w:rsid w:val="003A501D"/>
    <w:rsid w:val="003B6B08"/>
    <w:rsid w:val="003E312F"/>
    <w:rsid w:val="003F0D24"/>
    <w:rsid w:val="004459B7"/>
    <w:rsid w:val="00446818"/>
    <w:rsid w:val="00492755"/>
    <w:rsid w:val="004C4141"/>
    <w:rsid w:val="004E2843"/>
    <w:rsid w:val="00541992"/>
    <w:rsid w:val="005922AD"/>
    <w:rsid w:val="005E76FD"/>
    <w:rsid w:val="00606236"/>
    <w:rsid w:val="006125DC"/>
    <w:rsid w:val="006B6FAB"/>
    <w:rsid w:val="006E361C"/>
    <w:rsid w:val="006E7A20"/>
    <w:rsid w:val="007042F7"/>
    <w:rsid w:val="007634E7"/>
    <w:rsid w:val="007B4FAF"/>
    <w:rsid w:val="007C5CA0"/>
    <w:rsid w:val="008276D8"/>
    <w:rsid w:val="0083030E"/>
    <w:rsid w:val="008772F6"/>
    <w:rsid w:val="008802E5"/>
    <w:rsid w:val="00893A0F"/>
    <w:rsid w:val="008948C8"/>
    <w:rsid w:val="00894C51"/>
    <w:rsid w:val="008D6431"/>
    <w:rsid w:val="008F4E41"/>
    <w:rsid w:val="00905510"/>
    <w:rsid w:val="00937D69"/>
    <w:rsid w:val="009451AD"/>
    <w:rsid w:val="00946F24"/>
    <w:rsid w:val="00986E1D"/>
    <w:rsid w:val="009B0B6E"/>
    <w:rsid w:val="009B4412"/>
    <w:rsid w:val="009D2BEA"/>
    <w:rsid w:val="00A112B2"/>
    <w:rsid w:val="00AA2643"/>
    <w:rsid w:val="00AA6833"/>
    <w:rsid w:val="00AD0A90"/>
    <w:rsid w:val="00AF3EEE"/>
    <w:rsid w:val="00B3470C"/>
    <w:rsid w:val="00B712CF"/>
    <w:rsid w:val="00BC6E2C"/>
    <w:rsid w:val="00BE3671"/>
    <w:rsid w:val="00BF0E23"/>
    <w:rsid w:val="00C01152"/>
    <w:rsid w:val="00C321FF"/>
    <w:rsid w:val="00C375A1"/>
    <w:rsid w:val="00C568B5"/>
    <w:rsid w:val="00C9235E"/>
    <w:rsid w:val="00CC6A9C"/>
    <w:rsid w:val="00CE46C7"/>
    <w:rsid w:val="00CF2AFB"/>
    <w:rsid w:val="00D13755"/>
    <w:rsid w:val="00D31A03"/>
    <w:rsid w:val="00D55FC1"/>
    <w:rsid w:val="00DB5EA5"/>
    <w:rsid w:val="00DD67E9"/>
    <w:rsid w:val="00DE1396"/>
    <w:rsid w:val="00E007D3"/>
    <w:rsid w:val="00E433DD"/>
    <w:rsid w:val="00F1305A"/>
    <w:rsid w:val="00F1519E"/>
    <w:rsid w:val="00F27F9D"/>
    <w:rsid w:val="00F427DF"/>
    <w:rsid w:val="00F436CF"/>
    <w:rsid w:val="00F44518"/>
    <w:rsid w:val="00F64023"/>
    <w:rsid w:val="00F7340F"/>
    <w:rsid w:val="00F84B33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US"/>
    </w:rPr>
  </w:style>
  <w:style w:type="paragraph" w:styleId="1">
    <w:name w:val="heading 1"/>
    <w:basedOn w:val="a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2">
    <w:name w:val="heading 2"/>
    <w:basedOn w:val="a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3">
    <w:name w:val="heading 3"/>
    <w:basedOn w:val="a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4">
    <w:name w:val="heading 4"/>
    <w:basedOn w:val="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5">
    <w:name w:val="heading 5"/>
    <w:basedOn w:val="a"/>
    <w:next w:val="a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WAKeyword">
    <w:name w:val="(IWA) Keyword"/>
    <w:basedOn w:val="a"/>
    <w:next w:val="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a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a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a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a3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a"/>
    <w:next w:val="a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a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a4">
    <w:name w:val="footer"/>
    <w:basedOn w:val="a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a5">
    <w:name w:val="Normal Indent"/>
    <w:basedOn w:val="a"/>
    <w:pPr>
      <w:ind w:left="720"/>
    </w:pPr>
  </w:style>
  <w:style w:type="paragraph" w:customStyle="1" w:styleId="IWAFigureTableLegend">
    <w:name w:val="(IWA) Figure/Table Legend"/>
    <w:basedOn w:val="a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a"/>
    <w:rPr>
      <w:rFonts w:ascii="Arial" w:hAnsi="Arial" w:cs="Arial"/>
      <w:b/>
      <w:bCs/>
    </w:rPr>
  </w:style>
  <w:style w:type="paragraph" w:customStyle="1" w:styleId="IWASub-heading">
    <w:name w:val="(IWA) Sub-heading"/>
    <w:basedOn w:val="a5"/>
    <w:rPr>
      <w:rFonts w:ascii="Arial" w:hAnsi="Arial" w:cs="Arial"/>
      <w:b/>
      <w:bCs/>
      <w:sz w:val="22"/>
      <w:szCs w:val="22"/>
    </w:rPr>
  </w:style>
  <w:style w:type="paragraph" w:styleId="a6">
    <w:name w:val="Body Text"/>
    <w:basedOn w:val="a"/>
    <w:pPr>
      <w:spacing w:after="120"/>
    </w:pPr>
  </w:style>
  <w:style w:type="paragraph" w:styleId="a3">
    <w:name w:val="Body Text First Indent"/>
    <w:basedOn w:val="a6"/>
    <w:pPr>
      <w:ind w:firstLine="210"/>
    </w:pPr>
  </w:style>
  <w:style w:type="paragraph" w:customStyle="1" w:styleId="ListNumber1">
    <w:name w:val="List Number1"/>
    <w:basedOn w:val="a7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a"/>
    <w:next w:val="a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a7">
    <w:name w:val="List Bullet"/>
    <w:basedOn w:val="a"/>
    <w:autoRedefine/>
    <w:pPr>
      <w:ind w:left="648" w:hanging="360"/>
    </w:pPr>
  </w:style>
  <w:style w:type="paragraph" w:customStyle="1" w:styleId="Heading3a">
    <w:name w:val="Heading 3a"/>
    <w:basedOn w:val="3"/>
    <w:next w:val="a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a"/>
    <w:next w:val="a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a8">
    <w:name w:val="Normal (Web)"/>
    <w:basedOn w:val="a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a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a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a9">
    <w:name w:val="header"/>
    <w:basedOn w:val="a"/>
    <w:link w:val="aa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aa">
    <w:name w:val="页眉 字符"/>
    <w:link w:val="a9"/>
    <w:uiPriority w:val="99"/>
    <w:rsid w:val="004C4141"/>
    <w:rPr>
      <w:sz w:val="24"/>
      <w:szCs w:val="24"/>
      <w:lang w:val="en-GB" w:eastAsia="en-US"/>
    </w:rPr>
  </w:style>
  <w:style w:type="paragraph" w:styleId="ab">
    <w:name w:val="Balloon Text"/>
    <w:basedOn w:val="a"/>
    <w:link w:val="ac"/>
    <w:rsid w:val="004C4141"/>
    <w:rPr>
      <w:rFonts w:ascii="Tahoma" w:hAnsi="Tahoma" w:cs="Tahoma"/>
      <w:sz w:val="16"/>
      <w:szCs w:val="16"/>
    </w:rPr>
  </w:style>
  <w:style w:type="character" w:customStyle="1" w:styleId="ac">
    <w:name w:val="批注框文本 字符"/>
    <w:link w:val="ab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ad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ae">
    <w:name w:val="annotation reference"/>
    <w:basedOn w:val="a0"/>
    <w:semiHidden/>
    <w:unhideWhenUsed/>
    <w:rsid w:val="000B1CB6"/>
    <w:rPr>
      <w:sz w:val="16"/>
      <w:szCs w:val="16"/>
    </w:rPr>
  </w:style>
  <w:style w:type="paragraph" w:styleId="af">
    <w:name w:val="annotation text"/>
    <w:basedOn w:val="a"/>
    <w:link w:val="af0"/>
    <w:unhideWhenUsed/>
    <w:rsid w:val="000B1CB6"/>
    <w:rPr>
      <w:sz w:val="20"/>
      <w:szCs w:val="20"/>
    </w:rPr>
  </w:style>
  <w:style w:type="character" w:customStyle="1" w:styleId="af0">
    <w:name w:val="批注文字 字符"/>
    <w:basedOn w:val="a0"/>
    <w:link w:val="af"/>
    <w:rsid w:val="000B1CB6"/>
    <w:rPr>
      <w:lang w:val="en-GB"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0B1CB6"/>
    <w:rPr>
      <w:b/>
      <w:bCs/>
    </w:rPr>
  </w:style>
  <w:style w:type="character" w:customStyle="1" w:styleId="af2">
    <w:name w:val="批注主题 字符"/>
    <w:basedOn w:val="af0"/>
    <w:link w:val="af1"/>
    <w:semiHidden/>
    <w:rsid w:val="000B1CB6"/>
    <w:rPr>
      <w:b/>
      <w:bCs/>
      <w:lang w:val="en-GB" w:eastAsia="en-US"/>
    </w:rPr>
  </w:style>
  <w:style w:type="character" w:styleId="af3">
    <w:name w:val="Hyperlink"/>
    <w:basedOn w:val="a0"/>
    <w:unhideWhenUsed/>
    <w:rsid w:val="00296641"/>
    <w:rPr>
      <w:color w:val="0563C1" w:themeColor="hyperlink"/>
      <w:u w:val="single"/>
    </w:rPr>
  </w:style>
  <w:style w:type="character" w:customStyle="1" w:styleId="10">
    <w:name w:val="未处理的提及1"/>
    <w:basedOn w:val="a0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af4">
    <w:name w:val="FollowedHyperlink"/>
    <w:basedOn w:val="a0"/>
    <w:semiHidden/>
    <w:unhideWhenUsed/>
    <w:rsid w:val="002966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1AFB2-57D1-4358-AFFF-9E1A027C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YC Du</cp:lastModifiedBy>
  <cp:revision>2</cp:revision>
  <dcterms:created xsi:type="dcterms:W3CDTF">2024-12-10T09:38:00Z</dcterms:created>
  <dcterms:modified xsi:type="dcterms:W3CDTF">2024-12-10T09:38:00Z</dcterms:modified>
</cp:coreProperties>
</file>