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10AE" w14:textId="250EBCC8" w:rsidR="005922AD" w:rsidRPr="00394433" w:rsidRDefault="00963F9B" w:rsidP="00284526">
      <w:pPr>
        <w:pStyle w:val="IWAPaperTitle"/>
        <w:jc w:val="left"/>
        <w:rPr>
          <w:sz w:val="24"/>
          <w:szCs w:val="24"/>
        </w:rPr>
      </w:pPr>
      <w:r>
        <w:rPr>
          <w:sz w:val="24"/>
          <w:szCs w:val="24"/>
        </w:rPr>
        <w:t>DNA repair</w:t>
      </w:r>
      <w:r w:rsidR="00071C6D" w:rsidRPr="00071C6D">
        <w:rPr>
          <w:sz w:val="24"/>
          <w:szCs w:val="24"/>
        </w:rPr>
        <w:t xml:space="preserve"> genes </w:t>
      </w:r>
      <w:r>
        <w:rPr>
          <w:i/>
          <w:sz w:val="24"/>
          <w:szCs w:val="24"/>
        </w:rPr>
        <w:t xml:space="preserve">and </w:t>
      </w:r>
      <w:r w:rsidR="00071C6D" w:rsidRPr="00071C6D">
        <w:rPr>
          <w:i/>
          <w:sz w:val="24"/>
          <w:szCs w:val="24"/>
        </w:rPr>
        <w:t>ATXN2</w:t>
      </w:r>
      <w:r w:rsidR="00071C6D" w:rsidRPr="00071C6D">
        <w:rPr>
          <w:sz w:val="24"/>
          <w:szCs w:val="24"/>
        </w:rPr>
        <w:t xml:space="preserve"> change the age at onset of M</w:t>
      </w:r>
      <w:r>
        <w:rPr>
          <w:sz w:val="24"/>
          <w:szCs w:val="24"/>
        </w:rPr>
        <w:t>JD</w:t>
      </w:r>
    </w:p>
    <w:p w14:paraId="5281460C" w14:textId="6432DDAA" w:rsidR="005922AD" w:rsidRPr="00EC31B8" w:rsidRDefault="00071C6D" w:rsidP="00284526">
      <w:pPr>
        <w:pStyle w:val="Authornames"/>
        <w:rPr>
          <w:sz w:val="24"/>
          <w:szCs w:val="24"/>
          <w:lang w:val="pt-BR"/>
        </w:rPr>
      </w:pPr>
      <w:r w:rsidRPr="00EC31B8">
        <w:rPr>
          <w:sz w:val="24"/>
          <w:szCs w:val="24"/>
          <w:lang w:val="pt-BR"/>
        </w:rPr>
        <w:t xml:space="preserve">I. </w:t>
      </w:r>
      <w:proofErr w:type="spellStart"/>
      <w:r w:rsidRPr="00EC31B8">
        <w:rPr>
          <w:sz w:val="24"/>
          <w:szCs w:val="24"/>
          <w:lang w:val="pt-BR"/>
        </w:rPr>
        <w:t>Tuchtenhagen</w:t>
      </w:r>
      <w:proofErr w:type="spellEnd"/>
      <w:r w:rsidRPr="00EC31B8">
        <w:rPr>
          <w:sz w:val="24"/>
          <w:szCs w:val="24"/>
          <w:lang w:val="pt-BR"/>
        </w:rPr>
        <w:t xml:space="preserve"> </w:t>
      </w:r>
      <w:r w:rsidRPr="00EC31B8">
        <w:rPr>
          <w:sz w:val="24"/>
          <w:szCs w:val="24"/>
          <w:vertAlign w:val="superscript"/>
          <w:lang w:val="pt-BR"/>
        </w:rPr>
        <w:t>1,2</w:t>
      </w:r>
      <w:r w:rsidRPr="00EC31B8">
        <w:rPr>
          <w:sz w:val="24"/>
          <w:szCs w:val="24"/>
          <w:lang w:val="pt-BR"/>
        </w:rPr>
        <w:t xml:space="preserve">, B. A. Araújo </w:t>
      </w:r>
      <w:r w:rsidRPr="00EC31B8">
        <w:rPr>
          <w:sz w:val="24"/>
          <w:szCs w:val="24"/>
          <w:vertAlign w:val="superscript"/>
          <w:lang w:val="pt-BR"/>
        </w:rPr>
        <w:t>2, 3</w:t>
      </w:r>
      <w:r w:rsidRPr="00EC31B8">
        <w:rPr>
          <w:sz w:val="24"/>
          <w:szCs w:val="24"/>
          <w:lang w:val="pt-BR"/>
        </w:rPr>
        <w:t xml:space="preserve">, D. Santin </w:t>
      </w:r>
      <w:r w:rsidRPr="00EC31B8">
        <w:rPr>
          <w:sz w:val="24"/>
          <w:szCs w:val="24"/>
          <w:vertAlign w:val="superscript"/>
          <w:lang w:val="pt-BR"/>
        </w:rPr>
        <w:t>2, 4</w:t>
      </w:r>
      <w:r w:rsidRPr="00EC31B8">
        <w:rPr>
          <w:sz w:val="24"/>
          <w:szCs w:val="24"/>
          <w:lang w:val="pt-BR"/>
        </w:rPr>
        <w:t xml:space="preserve">, A. </w:t>
      </w:r>
      <w:proofErr w:type="spellStart"/>
      <w:r w:rsidRPr="00EC31B8">
        <w:rPr>
          <w:sz w:val="24"/>
          <w:szCs w:val="24"/>
          <w:lang w:val="pt-BR"/>
        </w:rPr>
        <w:t>Brawers</w:t>
      </w:r>
      <w:proofErr w:type="spellEnd"/>
      <w:r w:rsidRPr="00EC31B8">
        <w:rPr>
          <w:sz w:val="24"/>
          <w:szCs w:val="24"/>
          <w:lang w:val="pt-BR"/>
        </w:rPr>
        <w:t xml:space="preserve"> </w:t>
      </w:r>
      <w:r w:rsidRPr="00EC31B8">
        <w:rPr>
          <w:sz w:val="24"/>
          <w:szCs w:val="24"/>
          <w:vertAlign w:val="superscript"/>
          <w:lang w:val="pt-BR"/>
        </w:rPr>
        <w:t>2, 4</w:t>
      </w:r>
      <w:r w:rsidRPr="00EC31B8">
        <w:rPr>
          <w:sz w:val="24"/>
          <w:szCs w:val="24"/>
          <w:lang w:val="pt-BR"/>
        </w:rPr>
        <w:t xml:space="preserve">, M. L. Saraiva-Pereira </w:t>
      </w:r>
      <w:r w:rsidRPr="00EC31B8">
        <w:rPr>
          <w:sz w:val="24"/>
          <w:szCs w:val="24"/>
          <w:vertAlign w:val="superscript"/>
          <w:lang w:val="pt-BR"/>
        </w:rPr>
        <w:t>1, 2, 6, 7</w:t>
      </w:r>
      <w:r w:rsidRPr="00EC31B8">
        <w:rPr>
          <w:sz w:val="24"/>
          <w:szCs w:val="24"/>
          <w:lang w:val="pt-BR"/>
        </w:rPr>
        <w:t xml:space="preserve">, G. V. Furtado </w:t>
      </w:r>
      <w:r w:rsidRPr="00EC31B8">
        <w:rPr>
          <w:sz w:val="24"/>
          <w:szCs w:val="24"/>
          <w:vertAlign w:val="superscript"/>
          <w:lang w:val="pt-BR"/>
        </w:rPr>
        <w:t>2</w:t>
      </w:r>
      <w:r w:rsidRPr="00EC31B8">
        <w:rPr>
          <w:sz w:val="24"/>
          <w:szCs w:val="24"/>
          <w:lang w:val="pt-BR"/>
        </w:rPr>
        <w:t xml:space="preserve">, L. B. Jardim </w:t>
      </w:r>
      <w:r w:rsidRPr="00EC31B8">
        <w:rPr>
          <w:sz w:val="24"/>
          <w:szCs w:val="24"/>
          <w:vertAlign w:val="superscript"/>
          <w:lang w:val="pt-BR"/>
        </w:rPr>
        <w:t>1, 2,</w:t>
      </w:r>
      <w:r w:rsidRPr="00EC31B8">
        <w:rPr>
          <w:sz w:val="24"/>
          <w:szCs w:val="24"/>
          <w:lang w:val="pt-BR"/>
        </w:rPr>
        <w:t xml:space="preserve"> </w:t>
      </w:r>
      <w:r w:rsidRPr="00EC31B8">
        <w:rPr>
          <w:sz w:val="24"/>
          <w:szCs w:val="24"/>
          <w:vertAlign w:val="superscript"/>
          <w:lang w:val="pt-BR"/>
        </w:rPr>
        <w:t>4, 7, 8</w:t>
      </w:r>
    </w:p>
    <w:p w14:paraId="2149BE8E" w14:textId="77777777" w:rsidR="00071C6D" w:rsidRPr="00071C6D" w:rsidRDefault="00071C6D" w:rsidP="00071C6D">
      <w:pPr>
        <w:spacing w:after="240"/>
        <w:rPr>
          <w:rFonts w:ascii="Arial" w:eastAsia="Times New Roman" w:hAnsi="Arial" w:cs="Arial"/>
          <w:lang w:val="pt-BR" w:eastAsia="pt-BR"/>
        </w:rPr>
      </w:pPr>
      <w:r w:rsidRPr="00071C6D">
        <w:rPr>
          <w:rFonts w:ascii="Arial" w:eastAsia="Times New Roman" w:hAnsi="Arial" w:cs="Arial"/>
          <w:color w:val="000000"/>
          <w:vertAlign w:val="superscript"/>
          <w:lang w:val="pt-BR" w:eastAsia="pt-BR"/>
        </w:rPr>
        <w:t xml:space="preserve">1 </w:t>
      </w:r>
      <w:r w:rsidRPr="00071C6D">
        <w:rPr>
          <w:rFonts w:ascii="Arial" w:eastAsia="Times New Roman" w:hAnsi="Arial" w:cs="Arial"/>
          <w:color w:val="000000"/>
          <w:lang w:val="pt-BR" w:eastAsia="pt-BR"/>
        </w:rPr>
        <w:t xml:space="preserve">Programa de Pós-Graduação em Genética e Biologia Molecular, Universidade Federal do Rio Grande do Sul, </w:t>
      </w:r>
      <w:proofErr w:type="spellStart"/>
      <w:r w:rsidRPr="00071C6D">
        <w:rPr>
          <w:rFonts w:ascii="Arial" w:eastAsia="Times New Roman" w:hAnsi="Arial" w:cs="Arial"/>
          <w:color w:val="000000"/>
          <w:lang w:val="pt-BR" w:eastAsia="pt-BR"/>
        </w:rPr>
        <w:t>Brazil</w:t>
      </w:r>
      <w:proofErr w:type="spellEnd"/>
    </w:p>
    <w:p w14:paraId="25202002" w14:textId="77777777" w:rsidR="00071C6D" w:rsidRPr="00071C6D" w:rsidRDefault="00071C6D" w:rsidP="00071C6D">
      <w:pPr>
        <w:spacing w:after="240"/>
        <w:rPr>
          <w:rFonts w:ascii="Arial" w:eastAsia="Times New Roman" w:hAnsi="Arial" w:cs="Arial"/>
          <w:lang w:val="pt-BR" w:eastAsia="pt-BR"/>
        </w:rPr>
      </w:pPr>
      <w:r w:rsidRPr="00071C6D">
        <w:rPr>
          <w:rFonts w:ascii="Arial" w:eastAsia="Times New Roman" w:hAnsi="Arial" w:cs="Arial"/>
          <w:color w:val="000000"/>
          <w:vertAlign w:val="superscript"/>
          <w:lang w:val="pt-BR" w:eastAsia="pt-BR"/>
        </w:rPr>
        <w:t xml:space="preserve">2 </w:t>
      </w:r>
      <w:r w:rsidRPr="00071C6D">
        <w:rPr>
          <w:rFonts w:ascii="Arial" w:eastAsia="Times New Roman" w:hAnsi="Arial" w:cs="Arial"/>
          <w:color w:val="000000"/>
          <w:lang w:val="pt-BR" w:eastAsia="pt-BR"/>
        </w:rPr>
        <w:t xml:space="preserve">Centros de Pesquisa Clínica e Experimental, Hospital de Clínicas de Porto Alegre, </w:t>
      </w:r>
      <w:proofErr w:type="spellStart"/>
      <w:r w:rsidRPr="00071C6D">
        <w:rPr>
          <w:rFonts w:ascii="Arial" w:eastAsia="Times New Roman" w:hAnsi="Arial" w:cs="Arial"/>
          <w:color w:val="000000"/>
          <w:lang w:val="pt-BR" w:eastAsia="pt-BR"/>
        </w:rPr>
        <w:t>Brazil</w:t>
      </w:r>
      <w:proofErr w:type="spellEnd"/>
    </w:p>
    <w:p w14:paraId="5C78BF12" w14:textId="60669464" w:rsidR="00071C6D" w:rsidRPr="00071C6D" w:rsidRDefault="00071C6D" w:rsidP="00071C6D">
      <w:pPr>
        <w:spacing w:after="240"/>
        <w:rPr>
          <w:rFonts w:ascii="Arial" w:eastAsia="Times New Roman" w:hAnsi="Arial" w:cs="Arial"/>
          <w:lang w:val="pt-BR" w:eastAsia="pt-BR"/>
        </w:rPr>
      </w:pPr>
      <w:r w:rsidRPr="00071C6D">
        <w:rPr>
          <w:rFonts w:ascii="Arial" w:eastAsia="Times New Roman" w:hAnsi="Arial" w:cs="Arial"/>
          <w:color w:val="000000"/>
          <w:vertAlign w:val="superscript"/>
          <w:lang w:val="pt-BR" w:eastAsia="pt-BR"/>
        </w:rPr>
        <w:t>3 </w:t>
      </w:r>
      <w:r w:rsidRPr="00071C6D">
        <w:rPr>
          <w:rFonts w:ascii="Arial" w:eastAsia="Times New Roman" w:hAnsi="Arial" w:cs="Arial"/>
          <w:color w:val="000000"/>
          <w:lang w:val="pt-BR" w:eastAsia="pt-BR"/>
        </w:rPr>
        <w:t xml:space="preserve">Faculdade de Biomedicina, Universidade Federal do Rio Grande do Sul, </w:t>
      </w:r>
      <w:proofErr w:type="spellStart"/>
      <w:r w:rsidRPr="00071C6D">
        <w:rPr>
          <w:rFonts w:ascii="Arial" w:eastAsia="Times New Roman" w:hAnsi="Arial" w:cs="Arial"/>
          <w:color w:val="000000"/>
          <w:lang w:val="pt-BR" w:eastAsia="pt-BR"/>
        </w:rPr>
        <w:t>Brazil</w:t>
      </w:r>
      <w:proofErr w:type="spellEnd"/>
    </w:p>
    <w:p w14:paraId="1F470748" w14:textId="6D85D802" w:rsidR="00071C6D" w:rsidRPr="00071C6D" w:rsidRDefault="00071C6D" w:rsidP="00071C6D">
      <w:pPr>
        <w:spacing w:after="240"/>
        <w:rPr>
          <w:rFonts w:ascii="Arial" w:eastAsia="Times New Roman" w:hAnsi="Arial" w:cs="Arial"/>
          <w:lang w:val="pt-BR" w:eastAsia="pt-BR"/>
        </w:rPr>
      </w:pPr>
      <w:r w:rsidRPr="00071C6D">
        <w:rPr>
          <w:rFonts w:ascii="Arial" w:eastAsia="Times New Roman" w:hAnsi="Arial" w:cs="Arial"/>
          <w:color w:val="000000"/>
          <w:vertAlign w:val="superscript"/>
          <w:lang w:val="pt-BR" w:eastAsia="pt-BR"/>
        </w:rPr>
        <w:t>4 </w:t>
      </w:r>
      <w:r w:rsidRPr="00071C6D">
        <w:rPr>
          <w:rFonts w:ascii="Arial" w:eastAsia="Times New Roman" w:hAnsi="Arial" w:cs="Arial"/>
          <w:color w:val="000000"/>
          <w:lang w:val="pt-BR" w:eastAsia="pt-BR"/>
        </w:rPr>
        <w:t xml:space="preserve">Faculdade de Medicina, Universidade Federal do Rio Grande do Sul, </w:t>
      </w:r>
      <w:proofErr w:type="spellStart"/>
      <w:r w:rsidRPr="00071C6D">
        <w:rPr>
          <w:rFonts w:ascii="Arial" w:eastAsia="Times New Roman" w:hAnsi="Arial" w:cs="Arial"/>
          <w:color w:val="000000"/>
          <w:lang w:val="pt-BR" w:eastAsia="pt-BR"/>
        </w:rPr>
        <w:t>Brazil</w:t>
      </w:r>
      <w:proofErr w:type="spellEnd"/>
    </w:p>
    <w:p w14:paraId="02EF24A9" w14:textId="5A83422E" w:rsidR="00071C6D" w:rsidRPr="00071C6D" w:rsidRDefault="00071C6D" w:rsidP="00071C6D">
      <w:pPr>
        <w:spacing w:after="240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color w:val="000000"/>
          <w:vertAlign w:val="superscript"/>
          <w:lang w:val="pt-BR" w:eastAsia="pt-BR"/>
        </w:rPr>
        <w:t>6</w:t>
      </w:r>
      <w:r w:rsidRPr="00071C6D">
        <w:rPr>
          <w:rFonts w:ascii="Arial" w:eastAsia="Times New Roman" w:hAnsi="Arial" w:cs="Arial"/>
          <w:color w:val="000000"/>
          <w:vertAlign w:val="superscript"/>
          <w:lang w:val="pt-BR" w:eastAsia="pt-BR"/>
        </w:rPr>
        <w:t xml:space="preserve"> </w:t>
      </w:r>
      <w:r w:rsidRPr="00071C6D">
        <w:rPr>
          <w:rFonts w:ascii="Arial" w:eastAsia="Times New Roman" w:hAnsi="Arial" w:cs="Arial"/>
          <w:color w:val="000000"/>
          <w:lang w:val="pt-BR" w:eastAsia="pt-BR"/>
        </w:rPr>
        <w:t xml:space="preserve">Departamento de Bioquímica, Universidade Federal do Rio Grande do Sul, </w:t>
      </w:r>
      <w:proofErr w:type="spellStart"/>
      <w:r w:rsidRPr="00071C6D">
        <w:rPr>
          <w:rFonts w:ascii="Arial" w:eastAsia="Times New Roman" w:hAnsi="Arial" w:cs="Arial"/>
          <w:color w:val="000000"/>
          <w:lang w:val="pt-BR" w:eastAsia="pt-BR"/>
        </w:rPr>
        <w:t>Brazil</w:t>
      </w:r>
      <w:proofErr w:type="spellEnd"/>
    </w:p>
    <w:p w14:paraId="2B5E1028" w14:textId="77777777" w:rsidR="00071C6D" w:rsidRPr="00071C6D" w:rsidRDefault="00071C6D" w:rsidP="00071C6D">
      <w:pPr>
        <w:spacing w:after="240"/>
        <w:rPr>
          <w:rFonts w:ascii="Arial" w:eastAsia="Times New Roman" w:hAnsi="Arial" w:cs="Arial"/>
          <w:lang w:val="pt-BR" w:eastAsia="pt-BR"/>
        </w:rPr>
      </w:pPr>
      <w:r w:rsidRPr="00071C6D">
        <w:rPr>
          <w:rFonts w:ascii="Arial" w:eastAsia="Times New Roman" w:hAnsi="Arial" w:cs="Arial"/>
          <w:color w:val="000000"/>
          <w:vertAlign w:val="superscript"/>
          <w:lang w:val="pt-BR" w:eastAsia="pt-BR"/>
        </w:rPr>
        <w:t xml:space="preserve">7 </w:t>
      </w:r>
      <w:r w:rsidRPr="00071C6D">
        <w:rPr>
          <w:rFonts w:ascii="Arial" w:eastAsia="Times New Roman" w:hAnsi="Arial" w:cs="Arial"/>
          <w:color w:val="000000"/>
          <w:lang w:val="pt-BR" w:eastAsia="pt-BR"/>
        </w:rPr>
        <w:t xml:space="preserve">Serviço de Genética Médica, Hospital de Clínicas de Porto Alegre, </w:t>
      </w:r>
      <w:proofErr w:type="spellStart"/>
      <w:r w:rsidRPr="00071C6D">
        <w:rPr>
          <w:rFonts w:ascii="Arial" w:eastAsia="Times New Roman" w:hAnsi="Arial" w:cs="Arial"/>
          <w:color w:val="000000"/>
          <w:lang w:val="pt-BR" w:eastAsia="pt-BR"/>
        </w:rPr>
        <w:t>Brazil</w:t>
      </w:r>
      <w:proofErr w:type="spellEnd"/>
    </w:p>
    <w:p w14:paraId="529EA12E" w14:textId="45F0838C" w:rsidR="00071C6D" w:rsidRPr="00071C6D" w:rsidRDefault="00071C6D" w:rsidP="00071C6D">
      <w:pPr>
        <w:spacing w:after="240"/>
        <w:rPr>
          <w:rFonts w:ascii="Arial" w:eastAsia="Times New Roman" w:hAnsi="Arial" w:cs="Arial"/>
          <w:lang w:val="pt-BR" w:eastAsia="pt-BR"/>
        </w:rPr>
      </w:pPr>
      <w:r w:rsidRPr="00071C6D">
        <w:rPr>
          <w:rFonts w:ascii="Arial" w:eastAsia="Times New Roman" w:hAnsi="Arial" w:cs="Arial"/>
          <w:color w:val="000000"/>
          <w:vertAlign w:val="superscript"/>
          <w:lang w:val="pt-BR" w:eastAsia="pt-BR"/>
        </w:rPr>
        <w:t>8 </w:t>
      </w:r>
      <w:r w:rsidRPr="00071C6D">
        <w:rPr>
          <w:rFonts w:ascii="Arial" w:eastAsia="Times New Roman" w:hAnsi="Arial" w:cs="Arial"/>
          <w:color w:val="000000"/>
          <w:lang w:val="pt-BR" w:eastAsia="pt-BR"/>
        </w:rPr>
        <w:t xml:space="preserve">Departamento de Medicina Interna, Universidade Federal do Rio Grande do Sul, </w:t>
      </w:r>
      <w:proofErr w:type="spellStart"/>
      <w:r w:rsidRPr="00071C6D">
        <w:rPr>
          <w:rFonts w:ascii="Arial" w:eastAsia="Times New Roman" w:hAnsi="Arial" w:cs="Arial"/>
          <w:color w:val="000000"/>
          <w:lang w:val="pt-BR" w:eastAsia="pt-BR"/>
        </w:rPr>
        <w:t>Brazil</w:t>
      </w:r>
      <w:proofErr w:type="spellEnd"/>
    </w:p>
    <w:p w14:paraId="672A6659" w14:textId="77777777" w:rsidR="005922AD" w:rsidRPr="00EC31B8" w:rsidRDefault="005922AD" w:rsidP="00284526">
      <w:pPr>
        <w:pStyle w:val="IWAAuthoraddress"/>
        <w:jc w:val="left"/>
        <w:rPr>
          <w:sz w:val="24"/>
          <w:szCs w:val="24"/>
          <w:lang w:val="pt-BR"/>
        </w:rPr>
      </w:pPr>
    </w:p>
    <w:p w14:paraId="0029B243" w14:textId="60FA8C0C" w:rsidR="005922AD" w:rsidRPr="00207285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1E5B78CB" w14:textId="2CB88BC5" w:rsidR="00071C6D" w:rsidRPr="00071C6D" w:rsidRDefault="00071C6D" w:rsidP="00071C6D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071C6D">
        <w:rPr>
          <w:rFonts w:ascii="Arial" w:eastAsia="Arial Nova" w:hAnsi="Arial" w:cs="Arial"/>
          <w:b/>
          <w:color w:val="000000"/>
        </w:rPr>
        <w:t>Background</w:t>
      </w:r>
      <w:r w:rsidRPr="00071C6D">
        <w:rPr>
          <w:rFonts w:ascii="Arial" w:eastAsia="Arial Nova" w:hAnsi="Arial" w:cs="Arial"/>
          <w:color w:val="000000"/>
        </w:rPr>
        <w:t>: Although there is growing evidence relating DNA repair to the modulation of CAG repeat expansion (</w:t>
      </w:r>
      <w:proofErr w:type="spellStart"/>
      <w:r w:rsidRPr="00071C6D">
        <w:rPr>
          <w:rFonts w:ascii="Arial" w:eastAsia="Arial Nova" w:hAnsi="Arial" w:cs="Arial"/>
          <w:color w:val="000000"/>
        </w:rPr>
        <w:t>CAGexp</w:t>
      </w:r>
      <w:proofErr w:type="spellEnd"/>
      <w:r w:rsidRPr="00071C6D">
        <w:rPr>
          <w:rFonts w:ascii="Arial" w:eastAsia="Arial Nova" w:hAnsi="Arial" w:cs="Arial"/>
          <w:color w:val="000000"/>
        </w:rPr>
        <w:t>) diseases</w:t>
      </w:r>
      <w:r w:rsidR="003B496D">
        <w:rPr>
          <w:rFonts w:ascii="Arial" w:eastAsia="Arial Nova" w:hAnsi="Arial" w:cs="Arial"/>
          <w:color w:val="000000"/>
        </w:rPr>
        <w:t xml:space="preserve"> [1, 2, 3]</w:t>
      </w:r>
      <w:r w:rsidRPr="00071C6D">
        <w:rPr>
          <w:rFonts w:ascii="Arial" w:eastAsia="Arial Nova" w:hAnsi="Arial" w:cs="Arial"/>
          <w:color w:val="000000"/>
        </w:rPr>
        <w:t xml:space="preserve">, not much is known about it in the spinocerebellar ataxia type 3/Machado-Joseph disease (SCA3/MJD). We aimed to correlate functional variants in mismatch repair (MMR) genes </w:t>
      </w:r>
      <w:r w:rsidRPr="00071C6D">
        <w:rPr>
          <w:rFonts w:ascii="Arial" w:eastAsia="Arial Nova" w:hAnsi="Arial" w:cs="Arial"/>
          <w:i/>
          <w:color w:val="000000"/>
        </w:rPr>
        <w:t>MLH1, MLH3, MSH2, MSH3, MSH6</w:t>
      </w:r>
      <w:r w:rsidRPr="00071C6D">
        <w:rPr>
          <w:rFonts w:ascii="Arial" w:eastAsia="Arial Nova" w:hAnsi="Arial" w:cs="Arial"/>
          <w:color w:val="000000"/>
        </w:rPr>
        <w:t xml:space="preserve"> and </w:t>
      </w:r>
      <w:r w:rsidRPr="00071C6D">
        <w:rPr>
          <w:rFonts w:ascii="Arial" w:eastAsia="Arial Nova" w:hAnsi="Arial" w:cs="Arial"/>
          <w:i/>
          <w:color w:val="000000"/>
        </w:rPr>
        <w:t>PMS1</w:t>
      </w:r>
      <w:r w:rsidRPr="00071C6D">
        <w:rPr>
          <w:rFonts w:ascii="Arial" w:eastAsia="Arial Nova" w:hAnsi="Arial" w:cs="Arial"/>
          <w:color w:val="000000"/>
        </w:rPr>
        <w:t xml:space="preserve"> with AO in a clinically well-characterized SCA3/MJD cohort, compare their effects with those of </w:t>
      </w:r>
      <w:r w:rsidRPr="00071C6D">
        <w:rPr>
          <w:rFonts w:ascii="Arial" w:eastAsia="Arial Nova" w:hAnsi="Arial" w:cs="Arial"/>
          <w:i/>
          <w:color w:val="000000"/>
        </w:rPr>
        <w:t>ATXN2</w:t>
      </w:r>
      <w:r w:rsidRPr="00071C6D">
        <w:rPr>
          <w:rFonts w:ascii="Arial" w:eastAsia="Arial Nova" w:hAnsi="Arial" w:cs="Arial"/>
          <w:color w:val="000000"/>
        </w:rPr>
        <w:t>, and look for possible interactions.</w:t>
      </w:r>
    </w:p>
    <w:p w14:paraId="3635B8F2" w14:textId="713D953C" w:rsidR="00071C6D" w:rsidRPr="00071C6D" w:rsidRDefault="00071C6D" w:rsidP="00071C6D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071C6D">
        <w:rPr>
          <w:rFonts w:ascii="Arial" w:eastAsia="Arial Nova" w:hAnsi="Arial" w:cs="Arial"/>
          <w:b/>
          <w:color w:val="000000"/>
        </w:rPr>
        <w:t>Methods:</w:t>
      </w:r>
      <w:r w:rsidRPr="00071C6D">
        <w:rPr>
          <w:rFonts w:ascii="Arial" w:eastAsia="Arial Nova" w:hAnsi="Arial" w:cs="Arial"/>
          <w:color w:val="000000"/>
        </w:rPr>
        <w:t xml:space="preserve"> Symptomatic carriers with </w:t>
      </w:r>
      <w:proofErr w:type="spellStart"/>
      <w:r w:rsidRPr="00071C6D">
        <w:rPr>
          <w:rFonts w:ascii="Arial" w:eastAsia="Arial Nova" w:hAnsi="Arial" w:cs="Arial"/>
          <w:color w:val="000000"/>
        </w:rPr>
        <w:t>CAGexp</w:t>
      </w:r>
      <w:proofErr w:type="spellEnd"/>
      <w:r w:rsidRPr="00071C6D">
        <w:rPr>
          <w:rFonts w:ascii="Arial" w:eastAsia="Arial Nova" w:hAnsi="Arial" w:cs="Arial"/>
          <w:color w:val="000000"/>
        </w:rPr>
        <w:t xml:space="preserve"> &lt; 81 repeats and belonging to the SCA3/MJD cohort of Rio Grande do Sul, Brazil, were included. rs1799977</w:t>
      </w:r>
      <w:r>
        <w:rPr>
          <w:rFonts w:ascii="Arial" w:eastAsia="Arial Nova" w:hAnsi="Arial" w:cs="Arial"/>
          <w:color w:val="000000"/>
        </w:rPr>
        <w:t xml:space="preserve"> </w:t>
      </w:r>
      <w:r w:rsidRPr="00071C6D">
        <w:rPr>
          <w:rFonts w:ascii="Arial" w:eastAsia="Arial Nova" w:hAnsi="Arial" w:cs="Arial"/>
          <w:color w:val="000000"/>
        </w:rPr>
        <w:t>(</w:t>
      </w:r>
      <w:r w:rsidRPr="00071C6D">
        <w:rPr>
          <w:rFonts w:ascii="Arial" w:eastAsia="Arial Nova" w:hAnsi="Arial" w:cs="Arial"/>
          <w:i/>
          <w:color w:val="000000"/>
        </w:rPr>
        <w:t>MLH1</w:t>
      </w:r>
      <w:r w:rsidRPr="00071C6D">
        <w:rPr>
          <w:rFonts w:ascii="Arial" w:eastAsia="Arial Nova" w:hAnsi="Arial" w:cs="Arial"/>
          <w:color w:val="000000"/>
        </w:rPr>
        <w:t>), rs175080</w:t>
      </w:r>
      <w:r>
        <w:rPr>
          <w:rFonts w:ascii="Arial" w:eastAsia="Arial Nova" w:hAnsi="Arial" w:cs="Arial"/>
          <w:color w:val="000000"/>
        </w:rPr>
        <w:t xml:space="preserve"> </w:t>
      </w:r>
      <w:r w:rsidRPr="00071C6D">
        <w:rPr>
          <w:rFonts w:ascii="Arial" w:eastAsia="Arial Nova" w:hAnsi="Arial" w:cs="Arial"/>
          <w:color w:val="000000"/>
        </w:rPr>
        <w:t>(</w:t>
      </w:r>
      <w:r w:rsidRPr="00071C6D">
        <w:rPr>
          <w:rFonts w:ascii="Arial" w:eastAsia="Arial Nova" w:hAnsi="Arial" w:cs="Arial"/>
          <w:i/>
          <w:color w:val="000000"/>
        </w:rPr>
        <w:t>MLH3</w:t>
      </w:r>
      <w:r w:rsidRPr="00071C6D">
        <w:rPr>
          <w:rFonts w:ascii="Arial" w:eastAsia="Arial Nova" w:hAnsi="Arial" w:cs="Arial"/>
          <w:color w:val="000000"/>
        </w:rPr>
        <w:t>), rs2303425</w:t>
      </w:r>
      <w:r>
        <w:rPr>
          <w:rFonts w:ascii="Arial" w:eastAsia="Arial Nova" w:hAnsi="Arial" w:cs="Arial"/>
          <w:color w:val="000000"/>
        </w:rPr>
        <w:t xml:space="preserve"> </w:t>
      </w:r>
      <w:r w:rsidRPr="00071C6D">
        <w:rPr>
          <w:rFonts w:ascii="Arial" w:eastAsia="Arial Nova" w:hAnsi="Arial" w:cs="Arial"/>
          <w:color w:val="000000"/>
        </w:rPr>
        <w:t>(</w:t>
      </w:r>
      <w:r w:rsidRPr="00071C6D">
        <w:rPr>
          <w:rFonts w:ascii="Arial" w:eastAsia="Arial Nova" w:hAnsi="Arial" w:cs="Arial"/>
          <w:i/>
          <w:color w:val="000000"/>
        </w:rPr>
        <w:t>MSH2</w:t>
      </w:r>
      <w:r w:rsidRPr="00071C6D">
        <w:rPr>
          <w:rFonts w:ascii="Arial" w:eastAsia="Arial Nova" w:hAnsi="Arial" w:cs="Arial"/>
          <w:color w:val="000000"/>
        </w:rPr>
        <w:t>), rs2250063</w:t>
      </w:r>
      <w:r>
        <w:rPr>
          <w:rFonts w:ascii="Arial" w:eastAsia="Arial Nova" w:hAnsi="Arial" w:cs="Arial"/>
          <w:color w:val="000000"/>
        </w:rPr>
        <w:t xml:space="preserve"> </w:t>
      </w:r>
      <w:r w:rsidRPr="00071C6D">
        <w:rPr>
          <w:rFonts w:ascii="Arial" w:eastAsia="Arial Nova" w:hAnsi="Arial" w:cs="Arial"/>
          <w:color w:val="000000"/>
        </w:rPr>
        <w:t>(</w:t>
      </w:r>
      <w:r w:rsidRPr="00071C6D">
        <w:rPr>
          <w:rFonts w:ascii="Arial" w:eastAsia="Arial Nova" w:hAnsi="Arial" w:cs="Arial"/>
          <w:i/>
          <w:color w:val="000000"/>
        </w:rPr>
        <w:t>MSH3</w:t>
      </w:r>
      <w:r w:rsidRPr="00071C6D">
        <w:rPr>
          <w:rFonts w:ascii="Arial" w:eastAsia="Arial Nova" w:hAnsi="Arial" w:cs="Arial"/>
          <w:color w:val="000000"/>
        </w:rPr>
        <w:t>), rs1042821</w:t>
      </w:r>
      <w:r>
        <w:rPr>
          <w:rFonts w:ascii="Arial" w:eastAsia="Arial Nova" w:hAnsi="Arial" w:cs="Arial"/>
          <w:color w:val="000000"/>
        </w:rPr>
        <w:t xml:space="preserve"> </w:t>
      </w:r>
      <w:r w:rsidRPr="00071C6D">
        <w:rPr>
          <w:rFonts w:ascii="Arial" w:eastAsia="Arial Nova" w:hAnsi="Arial" w:cs="Arial"/>
          <w:color w:val="000000"/>
        </w:rPr>
        <w:t>(</w:t>
      </w:r>
      <w:r w:rsidRPr="00071C6D">
        <w:rPr>
          <w:rFonts w:ascii="Arial" w:eastAsia="Arial Nova" w:hAnsi="Arial" w:cs="Arial"/>
          <w:i/>
          <w:color w:val="000000"/>
        </w:rPr>
        <w:t>MSH6</w:t>
      </w:r>
      <w:r w:rsidRPr="00071C6D">
        <w:rPr>
          <w:rFonts w:ascii="Arial" w:eastAsia="Arial Nova" w:hAnsi="Arial" w:cs="Arial"/>
          <w:color w:val="000000"/>
        </w:rPr>
        <w:t>), rs3791767</w:t>
      </w:r>
      <w:r>
        <w:rPr>
          <w:rFonts w:ascii="Arial" w:eastAsia="Arial Nova" w:hAnsi="Arial" w:cs="Arial"/>
          <w:color w:val="000000"/>
        </w:rPr>
        <w:t xml:space="preserve"> </w:t>
      </w:r>
      <w:r w:rsidRPr="00071C6D">
        <w:rPr>
          <w:rFonts w:ascii="Arial" w:eastAsia="Arial Nova" w:hAnsi="Arial" w:cs="Arial"/>
          <w:color w:val="000000"/>
        </w:rPr>
        <w:t>(</w:t>
      </w:r>
      <w:r w:rsidRPr="00071C6D">
        <w:rPr>
          <w:rFonts w:ascii="Arial" w:eastAsia="Arial Nova" w:hAnsi="Arial" w:cs="Arial"/>
          <w:i/>
          <w:color w:val="000000"/>
        </w:rPr>
        <w:t>PMS1</w:t>
      </w:r>
      <w:r w:rsidRPr="00071C6D">
        <w:rPr>
          <w:rFonts w:ascii="Arial" w:eastAsia="Arial Nova" w:hAnsi="Arial" w:cs="Arial"/>
          <w:color w:val="000000"/>
        </w:rPr>
        <w:t>), rs1805323</w:t>
      </w:r>
      <w:r>
        <w:rPr>
          <w:rFonts w:ascii="Arial" w:eastAsia="Arial Nova" w:hAnsi="Arial" w:cs="Arial"/>
          <w:color w:val="000000"/>
        </w:rPr>
        <w:t xml:space="preserve"> </w:t>
      </w:r>
      <w:r w:rsidRPr="00071C6D">
        <w:rPr>
          <w:rFonts w:ascii="Arial" w:eastAsia="Arial Nova" w:hAnsi="Arial" w:cs="Arial"/>
          <w:color w:val="000000"/>
        </w:rPr>
        <w:t>(</w:t>
      </w:r>
      <w:r w:rsidRPr="00071C6D">
        <w:rPr>
          <w:rFonts w:ascii="Arial" w:eastAsia="Arial Nova" w:hAnsi="Arial" w:cs="Arial"/>
          <w:i/>
          <w:color w:val="000000"/>
        </w:rPr>
        <w:t>PMS2</w:t>
      </w:r>
      <w:r w:rsidRPr="00071C6D">
        <w:rPr>
          <w:rFonts w:ascii="Arial" w:eastAsia="Arial Nova" w:hAnsi="Arial" w:cs="Arial"/>
          <w:color w:val="000000"/>
        </w:rPr>
        <w:t xml:space="preserve">), and the major CAG allele at </w:t>
      </w:r>
      <w:r w:rsidRPr="00071C6D">
        <w:rPr>
          <w:rFonts w:ascii="Arial" w:eastAsia="Arial Nova" w:hAnsi="Arial" w:cs="Arial"/>
          <w:i/>
          <w:color w:val="000000"/>
        </w:rPr>
        <w:t>ATXN2</w:t>
      </w:r>
      <w:r w:rsidRPr="00071C6D">
        <w:rPr>
          <w:rFonts w:ascii="Arial" w:eastAsia="Arial Nova" w:hAnsi="Arial" w:cs="Arial"/>
          <w:color w:val="000000"/>
        </w:rPr>
        <w:t xml:space="preserve"> were genotyped, as well as the CAG alleles at </w:t>
      </w:r>
      <w:r w:rsidRPr="00071C6D">
        <w:rPr>
          <w:rFonts w:ascii="Arial" w:eastAsia="Arial Nova" w:hAnsi="Arial" w:cs="Arial"/>
          <w:i/>
          <w:color w:val="000000"/>
        </w:rPr>
        <w:t>ATXN3</w:t>
      </w:r>
      <w:r w:rsidRPr="00071C6D">
        <w:rPr>
          <w:rFonts w:ascii="Arial" w:eastAsia="Arial Nova" w:hAnsi="Arial" w:cs="Arial"/>
          <w:color w:val="000000"/>
        </w:rPr>
        <w:t>. Regression analyses for the age at onset of gait ataxia (</w:t>
      </w:r>
      <w:proofErr w:type="spellStart"/>
      <w:r w:rsidRPr="00071C6D">
        <w:rPr>
          <w:rFonts w:ascii="Arial" w:eastAsia="Arial Nova" w:hAnsi="Arial" w:cs="Arial"/>
          <w:color w:val="000000"/>
        </w:rPr>
        <w:t>AOga</w:t>
      </w:r>
      <w:proofErr w:type="spellEnd"/>
      <w:r w:rsidRPr="00071C6D">
        <w:rPr>
          <w:rFonts w:ascii="Arial" w:eastAsia="Arial Nova" w:hAnsi="Arial" w:cs="Arial"/>
          <w:color w:val="000000"/>
        </w:rPr>
        <w:t xml:space="preserve">) were done, using </w:t>
      </w:r>
      <w:proofErr w:type="spellStart"/>
      <w:r w:rsidRPr="00071C6D">
        <w:rPr>
          <w:rFonts w:ascii="Arial" w:eastAsia="Arial Nova" w:hAnsi="Arial" w:cs="Arial"/>
          <w:color w:val="000000"/>
        </w:rPr>
        <w:t>CAGexp</w:t>
      </w:r>
      <w:proofErr w:type="spellEnd"/>
      <w:r w:rsidRPr="00071C6D">
        <w:rPr>
          <w:rFonts w:ascii="Arial" w:eastAsia="Arial Nova" w:hAnsi="Arial" w:cs="Arial"/>
          <w:color w:val="000000"/>
        </w:rPr>
        <w:t xml:space="preserve">, family and each genotype at a time as independent variables. Then subjects were studied through a dominant model for each genotype and for a </w:t>
      </w:r>
      <w:proofErr w:type="spellStart"/>
      <w:r w:rsidRPr="00071C6D">
        <w:rPr>
          <w:rFonts w:ascii="Arial" w:eastAsia="Arial Nova" w:hAnsi="Arial" w:cs="Arial"/>
          <w:color w:val="000000"/>
        </w:rPr>
        <w:t>CAGexp</w:t>
      </w:r>
      <w:proofErr w:type="spellEnd"/>
      <w:r w:rsidRPr="00071C6D">
        <w:rPr>
          <w:rFonts w:ascii="Arial" w:eastAsia="Arial Nova" w:hAnsi="Arial" w:cs="Arial"/>
          <w:color w:val="000000"/>
        </w:rPr>
        <w:t xml:space="preserve"> of 75 repeats, by univariate analysis of variance, to determine </w:t>
      </w:r>
      <w:r w:rsidRPr="00071C6D">
        <w:rPr>
          <w:rFonts w:ascii="Arial" w:eastAsia="Arial Nova" w:hAnsi="Arial" w:cs="Arial"/>
          <w:color w:val="000000"/>
        </w:rPr>
        <w:lastRenderedPageBreak/>
        <w:t xml:space="preserve">the changes in </w:t>
      </w:r>
      <w:proofErr w:type="spellStart"/>
      <w:r w:rsidRPr="00071C6D">
        <w:rPr>
          <w:rFonts w:ascii="Arial" w:eastAsia="Arial Nova" w:hAnsi="Arial" w:cs="Arial"/>
          <w:color w:val="000000"/>
        </w:rPr>
        <w:t>AOga</w:t>
      </w:r>
      <w:proofErr w:type="spellEnd"/>
      <w:r w:rsidRPr="00071C6D">
        <w:rPr>
          <w:rFonts w:ascii="Arial" w:eastAsia="Arial Nova" w:hAnsi="Arial" w:cs="Arial"/>
          <w:color w:val="000000"/>
        </w:rPr>
        <w:t>.  Interactions of markers that achieved significance were also tested, for a p of 0.05.</w:t>
      </w:r>
    </w:p>
    <w:p w14:paraId="4604F468" w14:textId="57D5E557" w:rsidR="00071C6D" w:rsidRPr="00071C6D" w:rsidRDefault="00071C6D" w:rsidP="00071C6D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071C6D">
        <w:rPr>
          <w:rFonts w:ascii="Arial" w:eastAsia="Arial Nova" w:hAnsi="Arial" w:cs="Arial"/>
          <w:b/>
          <w:color w:val="000000"/>
        </w:rPr>
        <w:t>Results</w:t>
      </w:r>
      <w:r w:rsidRPr="00071C6D">
        <w:rPr>
          <w:rFonts w:ascii="Arial" w:eastAsia="Arial Nova" w:hAnsi="Arial" w:cs="Arial"/>
          <w:color w:val="000000"/>
        </w:rPr>
        <w:t xml:space="preserve">: Genotypic variability allowed </w:t>
      </w:r>
      <w:r w:rsidRPr="00071C6D">
        <w:rPr>
          <w:rFonts w:ascii="Arial" w:eastAsia="Arial Nova" w:hAnsi="Arial" w:cs="Arial"/>
          <w:i/>
          <w:color w:val="000000"/>
        </w:rPr>
        <w:t xml:space="preserve">MSH3, MLH3, MLH1, MSH6, MSH2, PMS1, </w:t>
      </w:r>
      <w:r w:rsidRPr="00071C6D">
        <w:rPr>
          <w:rFonts w:ascii="Arial" w:eastAsia="Arial Nova" w:hAnsi="Arial" w:cs="Arial"/>
          <w:color w:val="000000"/>
        </w:rPr>
        <w:t xml:space="preserve">and </w:t>
      </w:r>
      <w:r w:rsidRPr="00071C6D">
        <w:rPr>
          <w:rFonts w:ascii="Arial" w:eastAsia="Arial Nova" w:hAnsi="Arial" w:cs="Arial"/>
          <w:i/>
          <w:color w:val="000000"/>
        </w:rPr>
        <w:t>ATXN2</w:t>
      </w:r>
      <w:r w:rsidRPr="00071C6D">
        <w:rPr>
          <w:rFonts w:ascii="Arial" w:eastAsia="Arial Nova" w:hAnsi="Arial" w:cs="Arial"/>
          <w:color w:val="000000"/>
        </w:rPr>
        <w:t xml:space="preserve"> to be studied in 386 SCA3/MJD patients recruited. Variants in </w:t>
      </w:r>
      <w:r w:rsidRPr="00071C6D">
        <w:rPr>
          <w:rFonts w:ascii="Arial" w:eastAsia="Arial Nova" w:hAnsi="Arial" w:cs="Arial"/>
          <w:i/>
          <w:color w:val="000000"/>
        </w:rPr>
        <w:t>MLH1, MSH3, MSH6,</w:t>
      </w:r>
      <w:r w:rsidRPr="00071C6D">
        <w:rPr>
          <w:rFonts w:ascii="Arial" w:eastAsia="Arial Nova" w:hAnsi="Arial" w:cs="Arial"/>
          <w:color w:val="000000"/>
        </w:rPr>
        <w:t xml:space="preserve"> and </w:t>
      </w:r>
      <w:r w:rsidRPr="00071C6D">
        <w:rPr>
          <w:rFonts w:ascii="Arial" w:eastAsia="Arial Nova" w:hAnsi="Arial" w:cs="Arial"/>
          <w:i/>
          <w:color w:val="000000"/>
        </w:rPr>
        <w:t>ATXN2</w:t>
      </w:r>
      <w:r w:rsidRPr="00071C6D">
        <w:rPr>
          <w:rFonts w:ascii="Arial" w:eastAsia="Arial Nova" w:hAnsi="Arial" w:cs="Arial"/>
          <w:color w:val="000000"/>
        </w:rPr>
        <w:t xml:space="preserve"> significantly changed the </w:t>
      </w:r>
      <w:proofErr w:type="spellStart"/>
      <w:r w:rsidRPr="00071C6D">
        <w:rPr>
          <w:rFonts w:ascii="Arial" w:eastAsia="Arial Nova" w:hAnsi="Arial" w:cs="Arial"/>
          <w:color w:val="000000"/>
        </w:rPr>
        <w:t>AOga</w:t>
      </w:r>
      <w:proofErr w:type="spellEnd"/>
      <w:r w:rsidRPr="00071C6D">
        <w:rPr>
          <w:rFonts w:ascii="Arial" w:eastAsia="Arial Nova" w:hAnsi="Arial" w:cs="Arial"/>
          <w:color w:val="000000"/>
        </w:rPr>
        <w:t xml:space="preserve">. For instance, carrying rs1042821-G at </w:t>
      </w:r>
      <w:r w:rsidRPr="00071C6D">
        <w:rPr>
          <w:rFonts w:ascii="Arial" w:eastAsia="Arial Nova" w:hAnsi="Arial" w:cs="Arial"/>
          <w:i/>
          <w:color w:val="000000"/>
        </w:rPr>
        <w:t>MSH6</w:t>
      </w:r>
      <w:r w:rsidRPr="00071C6D">
        <w:rPr>
          <w:rFonts w:ascii="Arial" w:eastAsia="Arial Nova" w:hAnsi="Arial" w:cs="Arial"/>
          <w:color w:val="000000"/>
        </w:rPr>
        <w:t xml:space="preserve"> delayed </w:t>
      </w:r>
      <w:proofErr w:type="spellStart"/>
      <w:r w:rsidRPr="00071C6D">
        <w:rPr>
          <w:rFonts w:ascii="Arial" w:eastAsia="Arial Nova" w:hAnsi="Arial" w:cs="Arial"/>
          <w:color w:val="000000"/>
        </w:rPr>
        <w:t>AOga</w:t>
      </w:r>
      <w:proofErr w:type="spellEnd"/>
      <w:r w:rsidRPr="00071C6D">
        <w:rPr>
          <w:rFonts w:ascii="Arial" w:eastAsia="Arial Nova" w:hAnsi="Arial" w:cs="Arial"/>
          <w:color w:val="000000"/>
        </w:rPr>
        <w:t xml:space="preserve"> for a mean (SEM) of 4.55 (2.31) and alleles of up to 26 repeats at </w:t>
      </w:r>
      <w:r w:rsidRPr="00071C6D">
        <w:rPr>
          <w:rFonts w:ascii="Arial" w:eastAsia="Arial Nova" w:hAnsi="Arial" w:cs="Arial"/>
          <w:i/>
          <w:color w:val="000000"/>
        </w:rPr>
        <w:t>ATXN2</w:t>
      </w:r>
      <w:r w:rsidRPr="00071C6D">
        <w:rPr>
          <w:rFonts w:ascii="Arial" w:eastAsia="Arial Nova" w:hAnsi="Arial" w:cs="Arial"/>
          <w:color w:val="000000"/>
        </w:rPr>
        <w:t xml:space="preserve"> delayed it for 7.64 (</w:t>
      </w:r>
      <w:r w:rsidR="00EC31B8">
        <w:rPr>
          <w:rFonts w:ascii="Arial" w:eastAsia="Arial Nova" w:hAnsi="Arial" w:cs="Arial"/>
          <w:color w:val="000000"/>
        </w:rPr>
        <w:t>6.87</w:t>
      </w:r>
      <w:r w:rsidRPr="00071C6D">
        <w:rPr>
          <w:rFonts w:ascii="Arial" w:eastAsia="Arial Nova" w:hAnsi="Arial" w:cs="Arial"/>
          <w:color w:val="000000"/>
        </w:rPr>
        <w:t xml:space="preserve">) years. </w:t>
      </w:r>
      <w:r w:rsidR="00EC31B8">
        <w:rPr>
          <w:rFonts w:ascii="Arial" w:eastAsia="Arial Nova" w:hAnsi="Arial" w:cs="Arial"/>
          <w:color w:val="000000"/>
        </w:rPr>
        <w:t xml:space="preserve">Significant interactions were detected between </w:t>
      </w:r>
      <w:r w:rsidRPr="00071C6D">
        <w:rPr>
          <w:rFonts w:ascii="Arial" w:eastAsia="Arial Nova" w:hAnsi="Arial" w:cs="Arial"/>
          <w:i/>
          <w:color w:val="000000"/>
        </w:rPr>
        <w:t>MSH6</w:t>
      </w:r>
      <w:r w:rsidRPr="00071C6D">
        <w:rPr>
          <w:rFonts w:ascii="Arial" w:eastAsia="Arial Nova" w:hAnsi="Arial" w:cs="Arial"/>
          <w:color w:val="000000"/>
        </w:rPr>
        <w:t xml:space="preserve"> </w:t>
      </w:r>
      <w:r w:rsidR="00EC31B8">
        <w:rPr>
          <w:rFonts w:ascii="Arial" w:eastAsia="Arial Nova" w:hAnsi="Arial" w:cs="Arial"/>
          <w:color w:val="000000"/>
        </w:rPr>
        <w:t>and</w:t>
      </w:r>
      <w:r w:rsidRPr="00071C6D">
        <w:rPr>
          <w:rFonts w:ascii="Arial" w:eastAsia="Arial Nova" w:hAnsi="Arial" w:cs="Arial"/>
          <w:color w:val="000000"/>
        </w:rPr>
        <w:t xml:space="preserve"> </w:t>
      </w:r>
      <w:r w:rsidRPr="00071C6D">
        <w:rPr>
          <w:rFonts w:ascii="Arial" w:eastAsia="Arial Nova" w:hAnsi="Arial" w:cs="Arial"/>
          <w:i/>
          <w:color w:val="000000"/>
        </w:rPr>
        <w:t>MSH3</w:t>
      </w:r>
      <w:r w:rsidR="00EC31B8">
        <w:rPr>
          <w:rFonts w:ascii="Arial" w:eastAsia="Arial Nova" w:hAnsi="Arial" w:cs="Arial"/>
          <w:i/>
          <w:color w:val="000000"/>
        </w:rPr>
        <w:t xml:space="preserve"> </w:t>
      </w:r>
      <w:r w:rsidRPr="00071C6D">
        <w:rPr>
          <w:rFonts w:ascii="Arial" w:eastAsia="Arial Nova" w:hAnsi="Arial" w:cs="Arial"/>
          <w:color w:val="000000"/>
        </w:rPr>
        <w:t xml:space="preserve">and </w:t>
      </w:r>
      <w:r w:rsidRPr="00071C6D">
        <w:rPr>
          <w:rFonts w:ascii="Arial" w:eastAsia="Arial Nova" w:hAnsi="Arial" w:cs="Arial"/>
          <w:i/>
          <w:color w:val="000000"/>
        </w:rPr>
        <w:t>ATXN2</w:t>
      </w:r>
      <w:r w:rsidR="00EC31B8">
        <w:rPr>
          <w:rFonts w:ascii="Arial" w:eastAsia="Arial Nova" w:hAnsi="Arial" w:cs="Arial"/>
          <w:color w:val="000000"/>
        </w:rPr>
        <w:t xml:space="preserve">. The </w:t>
      </w:r>
      <w:r w:rsidRPr="00071C6D">
        <w:rPr>
          <w:rFonts w:ascii="Arial" w:eastAsia="Arial Nova" w:hAnsi="Arial" w:cs="Arial"/>
          <w:color w:val="000000"/>
        </w:rPr>
        <w:t>lack</w:t>
      </w:r>
      <w:r w:rsidR="00EC31B8">
        <w:rPr>
          <w:rFonts w:ascii="Arial" w:eastAsia="Arial Nova" w:hAnsi="Arial" w:cs="Arial"/>
          <w:color w:val="000000"/>
        </w:rPr>
        <w:t xml:space="preserve"> of</w:t>
      </w:r>
      <w:r w:rsidRPr="00071C6D">
        <w:rPr>
          <w:rFonts w:ascii="Arial" w:eastAsia="Arial Nova" w:hAnsi="Arial" w:cs="Arial"/>
          <w:color w:val="000000"/>
        </w:rPr>
        <w:t xml:space="preserve"> any protective genotype </w:t>
      </w:r>
      <w:r w:rsidR="00EC31B8">
        <w:rPr>
          <w:rFonts w:ascii="Arial" w:eastAsia="Arial Nova" w:hAnsi="Arial" w:cs="Arial"/>
          <w:color w:val="000000"/>
        </w:rPr>
        <w:t xml:space="preserve">in these pairs of genes </w:t>
      </w:r>
      <w:r w:rsidRPr="00071C6D">
        <w:rPr>
          <w:rFonts w:ascii="Arial" w:eastAsia="Arial Nova" w:hAnsi="Arial" w:cs="Arial"/>
          <w:color w:val="000000"/>
        </w:rPr>
        <w:t xml:space="preserve">seemed to be the underlying mechanism; additive effects were not apparent. </w:t>
      </w:r>
    </w:p>
    <w:p w14:paraId="0C8AA419" w14:textId="0036EE8E" w:rsidR="00E433DD" w:rsidRDefault="00071C6D" w:rsidP="00071C6D">
      <w:pPr>
        <w:spacing w:after="120" w:line="280" w:lineRule="atLeast"/>
        <w:rPr>
          <w:rFonts w:ascii="Arial" w:eastAsia="Arial Nova" w:hAnsi="Arial" w:cs="Arial"/>
          <w:color w:val="000000"/>
        </w:rPr>
      </w:pPr>
      <w:r w:rsidRPr="00071C6D">
        <w:rPr>
          <w:rFonts w:ascii="Arial" w:eastAsia="Arial Nova" w:hAnsi="Arial" w:cs="Arial"/>
          <w:b/>
          <w:color w:val="000000"/>
        </w:rPr>
        <w:t>Discussion</w:t>
      </w:r>
      <w:r w:rsidRPr="00071C6D">
        <w:rPr>
          <w:rFonts w:ascii="Arial" w:eastAsia="Arial Nova" w:hAnsi="Arial" w:cs="Arial"/>
          <w:color w:val="000000"/>
        </w:rPr>
        <w:t>: We raised evidence that MMR protective variants</w:t>
      </w:r>
      <w:r>
        <w:rPr>
          <w:rFonts w:ascii="Arial" w:eastAsia="Arial Nova" w:hAnsi="Arial" w:cs="Arial"/>
          <w:color w:val="000000"/>
        </w:rPr>
        <w:t xml:space="preserve"> at</w:t>
      </w:r>
      <w:r w:rsidRPr="00071C6D">
        <w:rPr>
          <w:rFonts w:ascii="Arial" w:eastAsia="Arial Nova" w:hAnsi="Arial" w:cs="Arial"/>
          <w:color w:val="000000"/>
        </w:rPr>
        <w:t xml:space="preserve"> </w:t>
      </w:r>
      <w:r w:rsidRPr="00071C6D">
        <w:rPr>
          <w:rFonts w:ascii="Arial" w:eastAsia="Arial Nova" w:hAnsi="Arial" w:cs="Arial"/>
          <w:i/>
          <w:color w:val="000000"/>
        </w:rPr>
        <w:t>MLH1, MSH3</w:t>
      </w:r>
      <w:r w:rsidRPr="00071C6D">
        <w:rPr>
          <w:rFonts w:ascii="Arial" w:eastAsia="Arial Nova" w:hAnsi="Arial" w:cs="Arial"/>
          <w:color w:val="000000"/>
        </w:rPr>
        <w:t xml:space="preserve"> and </w:t>
      </w:r>
      <w:r w:rsidRPr="00071C6D">
        <w:rPr>
          <w:rFonts w:ascii="Arial" w:eastAsia="Arial Nova" w:hAnsi="Arial" w:cs="Arial"/>
          <w:i/>
          <w:color w:val="000000"/>
        </w:rPr>
        <w:t>MSH6</w:t>
      </w:r>
      <w:r w:rsidRPr="00071C6D">
        <w:rPr>
          <w:rFonts w:ascii="Arial" w:eastAsia="Arial Nova" w:hAnsi="Arial" w:cs="Arial"/>
          <w:color w:val="000000"/>
        </w:rPr>
        <w:t xml:space="preserve">, plus </w:t>
      </w:r>
      <w:r w:rsidRPr="00071C6D">
        <w:rPr>
          <w:rFonts w:ascii="Arial" w:eastAsia="Arial Nova" w:hAnsi="Arial" w:cs="Arial"/>
          <w:i/>
          <w:color w:val="000000"/>
        </w:rPr>
        <w:t>ATXN2</w:t>
      </w:r>
      <w:r w:rsidRPr="00071C6D">
        <w:rPr>
          <w:rFonts w:ascii="Arial" w:eastAsia="Arial Nova" w:hAnsi="Arial" w:cs="Arial"/>
          <w:color w:val="000000"/>
        </w:rPr>
        <w:t xml:space="preserve">, delay </w:t>
      </w:r>
      <w:proofErr w:type="spellStart"/>
      <w:r w:rsidRPr="00071C6D">
        <w:rPr>
          <w:rFonts w:ascii="Arial" w:eastAsia="Arial Nova" w:hAnsi="Arial" w:cs="Arial"/>
          <w:color w:val="000000"/>
        </w:rPr>
        <w:t>AOga</w:t>
      </w:r>
      <w:proofErr w:type="spellEnd"/>
      <w:r w:rsidRPr="00071C6D">
        <w:rPr>
          <w:rFonts w:ascii="Arial" w:eastAsia="Arial Nova" w:hAnsi="Arial" w:cs="Arial"/>
          <w:color w:val="000000"/>
        </w:rPr>
        <w:t xml:space="preserve"> in SCA3/MJD. These findings suggest that somatic instabilities </w:t>
      </w:r>
      <w:r>
        <w:rPr>
          <w:rFonts w:ascii="Arial" w:eastAsia="Arial Nova" w:hAnsi="Arial" w:cs="Arial"/>
          <w:color w:val="000000"/>
        </w:rPr>
        <w:t xml:space="preserve">might participate in the pathogenetic </w:t>
      </w:r>
      <w:r w:rsidRPr="00071C6D">
        <w:rPr>
          <w:rFonts w:ascii="Arial" w:eastAsia="Arial Nova" w:hAnsi="Arial" w:cs="Arial"/>
          <w:color w:val="000000"/>
        </w:rPr>
        <w:t>process of this condition.</w:t>
      </w:r>
    </w:p>
    <w:p w14:paraId="506D1C82" w14:textId="4D1A7F18" w:rsidR="008D6431" w:rsidRPr="00207285" w:rsidRDefault="008D6431" w:rsidP="00E433DD">
      <w:pPr>
        <w:spacing w:after="120" w:line="280" w:lineRule="atLeast"/>
        <w:rPr>
          <w:rFonts w:ascii="Arial" w:hAnsi="Arial" w:cs="Arial"/>
          <w:lang w:val="en-AU"/>
        </w:rPr>
      </w:pPr>
      <w:r w:rsidRPr="00207285">
        <w:rPr>
          <w:rFonts w:ascii="Arial" w:hAnsi="Arial" w:cs="Arial"/>
          <w:lang w:val="en-AU"/>
        </w:rPr>
        <w:t xml:space="preserve"> </w:t>
      </w:r>
    </w:p>
    <w:p w14:paraId="72A3D3EC" w14:textId="77777777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7797E7DE" w14:textId="7FE6EBA1" w:rsidR="005922AD" w:rsidRPr="00207285" w:rsidRDefault="005922A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  <w:r w:rsidRPr="00207285">
        <w:rPr>
          <w:rFonts w:ascii="Arial" w:hAnsi="Arial" w:cs="Arial"/>
          <w:b/>
          <w:bCs/>
        </w:rPr>
        <w:t>REFERENCES</w:t>
      </w:r>
    </w:p>
    <w:p w14:paraId="58EA70C7" w14:textId="167456C5" w:rsidR="000B1CB6" w:rsidRPr="00207285" w:rsidRDefault="000B1CB6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</w:rPr>
      </w:pPr>
    </w:p>
    <w:p w14:paraId="4242D818" w14:textId="3193C8C4" w:rsidR="008D6431" w:rsidRPr="003B496D" w:rsidRDefault="003B496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 w:rsidRPr="003B49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Genetic Modifiers of Huntington’s Disease (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GeM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-HD) Consortium. Electronic address: gusella@helix.mgh.harvard.edu; Genetic Modifiers of Huntington’s Disease (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GeM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-HD) Consortium. CAG Repeat Not Polyglutamine Length Determines Timing of Huntington's Disease Onset. Cell. 2019 Aug 8;178(4):887-900.e14.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: 10.1016/j.cell.2019.06.036.</w:t>
      </w:r>
    </w:p>
    <w:p w14:paraId="0D89DEA6" w14:textId="77777777" w:rsidR="003B496D" w:rsidRPr="003B496D" w:rsidRDefault="003B496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1F29027B" w14:textId="53080389" w:rsidR="003B496D" w:rsidRPr="00EC31B8" w:rsidRDefault="003B496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</w:pPr>
      <w:r w:rsidRPr="003B49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Bettencourt C, Hensman-Moss D, Flower M,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Wiethoff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S, Brice A,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Goizet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C,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Stevanin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G,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Koutsis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G,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Karadima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G, Panas M,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Yescas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-Gómez P, García-Velázquez LE, Alonso-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Vilatela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ME, Lima M, Raposo M, Traynor B, Sweeney M, Wood N,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Giunti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P; SPATAX Network; Durr A,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Holmans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P,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Houlden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H, Tabrizi SJ, Jones L. DNA repair pathways underlie a common genetic mechanism modulating onset in polyglutamine diseases. </w:t>
      </w:r>
      <w:r w:rsidRPr="00EC31B8"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  <w:t xml:space="preserve">Ann </w:t>
      </w:r>
      <w:proofErr w:type="spellStart"/>
      <w:r w:rsidRPr="00EC31B8"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  <w:t>Neurol</w:t>
      </w:r>
      <w:proofErr w:type="spellEnd"/>
      <w:r w:rsidRPr="00EC31B8"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  <w:t xml:space="preserve">. 2016 Jun;79(6):983-90. </w:t>
      </w:r>
      <w:proofErr w:type="spellStart"/>
      <w:r w:rsidRPr="00EC31B8"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  <w:t>doi</w:t>
      </w:r>
      <w:proofErr w:type="spellEnd"/>
      <w:r w:rsidRPr="00EC31B8"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  <w:t>: 10.1002/ana.24656. </w:t>
      </w:r>
    </w:p>
    <w:p w14:paraId="757C8113" w14:textId="77777777" w:rsidR="003B496D" w:rsidRPr="00EC31B8" w:rsidRDefault="003B496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</w:pPr>
    </w:p>
    <w:p w14:paraId="19459F42" w14:textId="70811FB0" w:rsidR="003B496D" w:rsidRPr="003B496D" w:rsidRDefault="003B496D" w:rsidP="00284526">
      <w:pPr>
        <w:tabs>
          <w:tab w:val="left" w:pos="-879"/>
          <w:tab w:val="left" w:pos="0"/>
          <w:tab w:val="left" w:pos="788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  <w:bCs/>
          <w:sz w:val="20"/>
          <w:szCs w:val="20"/>
        </w:rPr>
      </w:pPr>
      <w:r w:rsidRPr="00EC31B8">
        <w:rPr>
          <w:rFonts w:ascii="Arial" w:hAnsi="Arial" w:cs="Arial"/>
          <w:color w:val="000000"/>
          <w:sz w:val="20"/>
          <w:szCs w:val="20"/>
          <w:shd w:val="clear" w:color="auto" w:fill="FFFFFF"/>
          <w:lang w:val="pt-BR"/>
        </w:rPr>
        <w:t xml:space="preserve">3. </w:t>
      </w:r>
      <w:proofErr w:type="spellStart"/>
      <w:r w:rsidRPr="00EC31B8"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  <w:t>Mergener</w:t>
      </w:r>
      <w:proofErr w:type="spellEnd"/>
      <w:r w:rsidRPr="00EC31B8"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  <w:t xml:space="preserve"> R, Furtado GV, de Mattos EP, </w:t>
      </w:r>
      <w:proofErr w:type="spellStart"/>
      <w:r w:rsidRPr="00EC31B8"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  <w:t>Leotti</w:t>
      </w:r>
      <w:proofErr w:type="spellEnd"/>
      <w:r w:rsidRPr="00EC31B8">
        <w:rPr>
          <w:rFonts w:ascii="Arial" w:hAnsi="Arial" w:cs="Arial"/>
          <w:color w:val="212121"/>
          <w:sz w:val="20"/>
          <w:szCs w:val="20"/>
          <w:shd w:val="clear" w:color="auto" w:fill="FFFFFF"/>
          <w:lang w:val="pt-BR"/>
        </w:rPr>
        <w:t xml:space="preserve"> VB, Jardim LB, Saraiva-Pereira ML. </w:t>
      </w:r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Variation in DNA Repair System Gene as an Additional Modifier of Age at Onset in Spinocerebellar Ataxia Type 3/Machado-Joseph Disease.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Neuromolecular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Med. 2020 Mar;22(1):133-138. </w:t>
      </w:r>
      <w:proofErr w:type="spellStart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doi</w:t>
      </w:r>
      <w:proofErr w:type="spellEnd"/>
      <w:r w:rsidRPr="003B496D">
        <w:rPr>
          <w:rFonts w:ascii="Arial" w:hAnsi="Arial" w:cs="Arial"/>
          <w:color w:val="212121"/>
          <w:sz w:val="20"/>
          <w:szCs w:val="20"/>
          <w:shd w:val="clear" w:color="auto" w:fill="FFFFFF"/>
        </w:rPr>
        <w:t>: 10.1007/s12017-019-08572-4.</w:t>
      </w:r>
    </w:p>
    <w:p w14:paraId="631620EB" w14:textId="77777777" w:rsidR="003B496D" w:rsidRDefault="003B496D" w:rsidP="00284526">
      <w:pPr>
        <w:pStyle w:val="IWANormalParagraph"/>
        <w:spacing w:line="280" w:lineRule="atLeast"/>
        <w:ind w:firstLine="0"/>
        <w:rPr>
          <w:b/>
          <w:bCs/>
          <w:sz w:val="24"/>
          <w:szCs w:val="24"/>
        </w:rPr>
      </w:pPr>
    </w:p>
    <w:sectPr w:rsidR="003B496D" w:rsidSect="00F27F9D">
      <w:headerReference w:type="default" r:id="rId8"/>
      <w:headerReference w:type="first" r:id="rId9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47DE8" w14:textId="77777777" w:rsidR="006D01D5" w:rsidRDefault="006D01D5" w:rsidP="004C4141">
      <w:r>
        <w:separator/>
      </w:r>
    </w:p>
  </w:endnote>
  <w:endnote w:type="continuationSeparator" w:id="0">
    <w:p w14:paraId="0D1B6DB5" w14:textId="77777777" w:rsidR="006D01D5" w:rsidRDefault="006D01D5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9512A" w14:textId="77777777" w:rsidR="006D01D5" w:rsidRDefault="006D01D5" w:rsidP="004C4141">
      <w:r>
        <w:separator/>
      </w:r>
    </w:p>
  </w:footnote>
  <w:footnote w:type="continuationSeparator" w:id="0">
    <w:p w14:paraId="510FAA57" w14:textId="77777777" w:rsidR="006D01D5" w:rsidRDefault="006D01D5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22327C3F" w:rsidR="004C4141" w:rsidRPr="009B0B6E" w:rsidRDefault="00F27F9D">
    <w:pPr>
      <w:pStyle w:val="Cabealho"/>
      <w:rPr>
        <w:rFonts w:ascii="Abadi" w:hAnsi="Abadi"/>
      </w:rPr>
    </w:pPr>
    <w:r>
      <w:rPr>
        <w:rFonts w:ascii="Abadi" w:hAnsi="Abadi"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4E5D" w14:textId="2DBEB7C0" w:rsidR="00F27F9D" w:rsidRDefault="00F27F9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4870">
    <w:abstractNumId w:val="0"/>
  </w:num>
  <w:num w:numId="2" w16cid:durableId="882137650">
    <w:abstractNumId w:val="0"/>
  </w:num>
  <w:num w:numId="3" w16cid:durableId="1275096060">
    <w:abstractNumId w:val="0"/>
  </w:num>
  <w:num w:numId="4" w16cid:durableId="1744184781">
    <w:abstractNumId w:val="0"/>
  </w:num>
  <w:num w:numId="5" w16cid:durableId="1181240401">
    <w:abstractNumId w:val="1"/>
  </w:num>
  <w:num w:numId="6" w16cid:durableId="8532310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200FF"/>
    <w:rsid w:val="00034E58"/>
    <w:rsid w:val="00071C6D"/>
    <w:rsid w:val="000749DC"/>
    <w:rsid w:val="000B1A9F"/>
    <w:rsid w:val="000B1CB6"/>
    <w:rsid w:val="000F230E"/>
    <w:rsid w:val="00104C64"/>
    <w:rsid w:val="00153B31"/>
    <w:rsid w:val="001A5D1D"/>
    <w:rsid w:val="001C48EA"/>
    <w:rsid w:val="001E69F5"/>
    <w:rsid w:val="001F0A40"/>
    <w:rsid w:val="001F3F9D"/>
    <w:rsid w:val="00207285"/>
    <w:rsid w:val="00245841"/>
    <w:rsid w:val="002464D1"/>
    <w:rsid w:val="00276755"/>
    <w:rsid w:val="00277823"/>
    <w:rsid w:val="00284526"/>
    <w:rsid w:val="00296641"/>
    <w:rsid w:val="002D7855"/>
    <w:rsid w:val="00326102"/>
    <w:rsid w:val="00361FCC"/>
    <w:rsid w:val="0039255A"/>
    <w:rsid w:val="0039260D"/>
    <w:rsid w:val="00394433"/>
    <w:rsid w:val="003A501D"/>
    <w:rsid w:val="003B496D"/>
    <w:rsid w:val="003E0335"/>
    <w:rsid w:val="00446818"/>
    <w:rsid w:val="004C4141"/>
    <w:rsid w:val="004E2843"/>
    <w:rsid w:val="00533EF5"/>
    <w:rsid w:val="005922AD"/>
    <w:rsid w:val="005D673D"/>
    <w:rsid w:val="005E76FD"/>
    <w:rsid w:val="006125DC"/>
    <w:rsid w:val="006B6FAB"/>
    <w:rsid w:val="006D01D5"/>
    <w:rsid w:val="006E361C"/>
    <w:rsid w:val="006E7A20"/>
    <w:rsid w:val="007042F7"/>
    <w:rsid w:val="007634E7"/>
    <w:rsid w:val="007B4FAF"/>
    <w:rsid w:val="008276D8"/>
    <w:rsid w:val="0083030E"/>
    <w:rsid w:val="008772F6"/>
    <w:rsid w:val="008802E5"/>
    <w:rsid w:val="00893A0F"/>
    <w:rsid w:val="008948C8"/>
    <w:rsid w:val="008D6431"/>
    <w:rsid w:val="00937D69"/>
    <w:rsid w:val="00963F9B"/>
    <w:rsid w:val="009B0B6E"/>
    <w:rsid w:val="009D2BEA"/>
    <w:rsid w:val="00AA2643"/>
    <w:rsid w:val="00B00143"/>
    <w:rsid w:val="00B00BF6"/>
    <w:rsid w:val="00B3470C"/>
    <w:rsid w:val="00BC6E2C"/>
    <w:rsid w:val="00BE3671"/>
    <w:rsid w:val="00BF0E23"/>
    <w:rsid w:val="00C01152"/>
    <w:rsid w:val="00C568B5"/>
    <w:rsid w:val="00C9235E"/>
    <w:rsid w:val="00CC6A9C"/>
    <w:rsid w:val="00CE46C7"/>
    <w:rsid w:val="00CF2AFB"/>
    <w:rsid w:val="00D13755"/>
    <w:rsid w:val="00D146EE"/>
    <w:rsid w:val="00DB5EA5"/>
    <w:rsid w:val="00DE1396"/>
    <w:rsid w:val="00E007D3"/>
    <w:rsid w:val="00E433DD"/>
    <w:rsid w:val="00EC31B8"/>
    <w:rsid w:val="00F1305A"/>
    <w:rsid w:val="00F27F9D"/>
    <w:rsid w:val="00F427DF"/>
    <w:rsid w:val="00F436CF"/>
    <w:rsid w:val="00F44518"/>
    <w:rsid w:val="00F64023"/>
    <w:rsid w:val="00F71591"/>
    <w:rsid w:val="00F7340F"/>
    <w:rsid w:val="00F84B33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Ttulo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Ttulo4">
    <w:name w:val="heading 4"/>
    <w:basedOn w:val="Ttulo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Ttulo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Primeirorecuodecorpodetexto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Rodap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Recuonormal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Recuonormal"/>
    <w:rPr>
      <w:rFonts w:ascii="Arial" w:hAnsi="Arial" w:cs="Arial"/>
      <w:b/>
      <w:bCs/>
      <w:sz w:val="22"/>
      <w:szCs w:val="22"/>
    </w:rPr>
  </w:style>
  <w:style w:type="paragraph" w:styleId="Corpodetexto">
    <w:name w:val="Body Text"/>
    <w:basedOn w:val="Normal"/>
    <w:pPr>
      <w:spacing w:after="120"/>
    </w:pPr>
  </w:style>
  <w:style w:type="paragraph" w:styleId="Primeirorecuodecorpodetexto">
    <w:name w:val="Body Text First Indent"/>
    <w:basedOn w:val="Corpodetexto"/>
    <w:pPr>
      <w:ind w:firstLine="210"/>
    </w:pPr>
  </w:style>
  <w:style w:type="paragraph" w:customStyle="1" w:styleId="ListNumber1">
    <w:name w:val="List Number1"/>
    <w:basedOn w:val="Commarcadores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Commarcadores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Ttulo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Cabealho">
    <w:name w:val="header"/>
    <w:basedOn w:val="Normal"/>
    <w:link w:val="Cabealho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4C4141"/>
    <w:rPr>
      <w:sz w:val="24"/>
      <w:szCs w:val="24"/>
      <w:lang w:val="en-GB" w:eastAsia="en-US"/>
    </w:rPr>
  </w:style>
  <w:style w:type="paragraph" w:styleId="Textodebalo">
    <w:name w:val="Balloon Text"/>
    <w:basedOn w:val="Normal"/>
    <w:link w:val="TextodebaloChar"/>
    <w:rsid w:val="004C41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o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Refdecomentrio">
    <w:name w:val="annotation reference"/>
    <w:basedOn w:val="Fontepargpadro"/>
    <w:semiHidden/>
    <w:unhideWhenUsed/>
    <w:rsid w:val="000B1CB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B1C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B1CB6"/>
    <w:rPr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B1C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1CB6"/>
    <w:rPr>
      <w:b/>
      <w:bCs/>
      <w:lang w:val="en-GB" w:eastAsia="en-US"/>
    </w:rPr>
  </w:style>
  <w:style w:type="character" w:styleId="Hyperlink">
    <w:name w:val="Hyperlink"/>
    <w:basedOn w:val="Fontepargpadro"/>
    <w:unhideWhenUsed/>
    <w:rsid w:val="002966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F0E8-B404-4754-B47E-10FD9D29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622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International Water Association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Laura Bannach Jardim</cp:lastModifiedBy>
  <cp:revision>4</cp:revision>
  <dcterms:created xsi:type="dcterms:W3CDTF">2025-01-09T18:39:00Z</dcterms:created>
  <dcterms:modified xsi:type="dcterms:W3CDTF">2025-01-09T20:58:00Z</dcterms:modified>
</cp:coreProperties>
</file>