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2B82A" w14:textId="3A0BA797" w:rsidR="000F1E7B" w:rsidRPr="009C4515" w:rsidRDefault="00F8452D" w:rsidP="004C0DA6">
      <w:pPr>
        <w:spacing w:after="120" w:line="280" w:lineRule="atLeast"/>
        <w:rPr>
          <w:rFonts w:ascii="Arial" w:hAnsi="Arial" w:cs="Arial"/>
          <w:b/>
        </w:rPr>
      </w:pPr>
      <w:r>
        <w:rPr>
          <w:rFonts w:ascii="Arial" w:hAnsi="Arial" w:cs="Arial"/>
          <w:b/>
        </w:rPr>
        <w:t>Impact of Amantadine on Neurocognitive Function in Aneurysmal Subarachnoid Haemor</w:t>
      </w:r>
      <w:r w:rsidR="00394896">
        <w:rPr>
          <w:rFonts w:ascii="Arial" w:hAnsi="Arial" w:cs="Arial"/>
          <w:b/>
        </w:rPr>
        <w:t>rhage: A Systematic Review and C</w:t>
      </w:r>
      <w:r>
        <w:rPr>
          <w:rFonts w:ascii="Arial" w:hAnsi="Arial" w:cs="Arial"/>
          <w:b/>
        </w:rPr>
        <w:t>ase Series</w:t>
      </w:r>
      <w:r w:rsidR="00C9262E" w:rsidRPr="009C4515">
        <w:rPr>
          <w:rFonts w:ascii="Arial" w:hAnsi="Arial" w:cs="Arial"/>
          <w:b/>
        </w:rPr>
        <w:t>.</w:t>
      </w:r>
    </w:p>
    <w:p w14:paraId="3282A620" w14:textId="77777777" w:rsidR="004C0DA6" w:rsidRPr="009C4515" w:rsidRDefault="004C0DA6" w:rsidP="004C0DA6">
      <w:pPr>
        <w:spacing w:after="120" w:line="280" w:lineRule="atLeast"/>
        <w:rPr>
          <w:rFonts w:ascii="Arial" w:hAnsi="Arial" w:cs="Arial"/>
          <w:b/>
        </w:rPr>
      </w:pPr>
    </w:p>
    <w:p w14:paraId="592BECF2" w14:textId="513BD28B" w:rsidR="004C0DA6" w:rsidRPr="004C0DA6" w:rsidRDefault="00A601AE" w:rsidP="004C0DA6">
      <w:pPr>
        <w:spacing w:after="120" w:line="280" w:lineRule="atLeast"/>
        <w:rPr>
          <w:rFonts w:ascii="Arial" w:hAnsi="Arial" w:cs="Arial"/>
        </w:rPr>
      </w:pPr>
      <w:r>
        <w:rPr>
          <w:rFonts w:ascii="Arial" w:hAnsi="Arial" w:cs="Arial"/>
          <w:b/>
        </w:rPr>
        <w:t>J</w:t>
      </w:r>
      <w:proofErr w:type="gramStart"/>
      <w:r>
        <w:rPr>
          <w:rFonts w:ascii="Arial" w:hAnsi="Arial" w:cs="Arial"/>
          <w:b/>
        </w:rPr>
        <w:t>,</w:t>
      </w:r>
      <w:r w:rsidR="002D4AEF" w:rsidRPr="00B11FB3">
        <w:rPr>
          <w:rFonts w:ascii="Arial" w:hAnsi="Arial" w:cs="Arial"/>
          <w:b/>
        </w:rPr>
        <w:t>Raftesath</w:t>
      </w:r>
      <w:proofErr w:type="gramEnd"/>
      <w:r w:rsidR="00727E5B">
        <w:rPr>
          <w:rFonts w:ascii="Arial" w:hAnsi="Arial" w:cs="Arial"/>
        </w:rPr>
        <w:t>, Clinical</w:t>
      </w:r>
      <w:r w:rsidR="002D4AEF">
        <w:rPr>
          <w:rFonts w:ascii="Arial" w:hAnsi="Arial" w:cs="Arial"/>
        </w:rPr>
        <w:t xml:space="preserve"> Nurse Consultant Neurosurgery, Royal Prince Alfred Hospital Sydney.</w:t>
      </w:r>
    </w:p>
    <w:p w14:paraId="4B300796" w14:textId="636B7C1A" w:rsidR="00F54CE2" w:rsidRDefault="00A601AE" w:rsidP="004C0DA6">
      <w:pPr>
        <w:spacing w:after="120" w:line="280" w:lineRule="atLeast"/>
        <w:rPr>
          <w:rFonts w:ascii="Arial" w:hAnsi="Arial" w:cs="Arial"/>
        </w:rPr>
      </w:pPr>
      <w:proofErr w:type="spellStart"/>
      <w:r>
        <w:rPr>
          <w:rFonts w:ascii="Arial" w:hAnsi="Arial" w:cs="Arial"/>
          <w:b/>
        </w:rPr>
        <w:t>K</w:t>
      </w:r>
      <w:proofErr w:type="gramStart"/>
      <w:r>
        <w:rPr>
          <w:rFonts w:ascii="Arial" w:hAnsi="Arial" w:cs="Arial"/>
          <w:b/>
        </w:rPr>
        <w:t>,</w:t>
      </w:r>
      <w:r w:rsidR="00190FA8" w:rsidRPr="00B11FB3">
        <w:rPr>
          <w:rFonts w:ascii="Arial" w:hAnsi="Arial" w:cs="Arial"/>
          <w:b/>
        </w:rPr>
        <w:t>Muralidharan</w:t>
      </w:r>
      <w:proofErr w:type="spellEnd"/>
      <w:proofErr w:type="gramEnd"/>
      <w:r w:rsidR="00727E5B">
        <w:rPr>
          <w:rFonts w:ascii="Arial" w:hAnsi="Arial" w:cs="Arial"/>
        </w:rPr>
        <w:t>, Neurosurgery</w:t>
      </w:r>
      <w:r w:rsidR="00190FA8">
        <w:rPr>
          <w:rFonts w:ascii="Arial" w:hAnsi="Arial" w:cs="Arial"/>
        </w:rPr>
        <w:t xml:space="preserve"> </w:t>
      </w:r>
      <w:r w:rsidR="002D4AEF">
        <w:rPr>
          <w:rFonts w:ascii="Arial" w:hAnsi="Arial" w:cs="Arial"/>
        </w:rPr>
        <w:t>Registrar, Royal Prince Alfred Hospital Sydney.</w:t>
      </w:r>
    </w:p>
    <w:p w14:paraId="59C9A394" w14:textId="2D84CD9C" w:rsidR="002D4AEF" w:rsidRPr="004C0DA6" w:rsidRDefault="00A601AE" w:rsidP="004C0DA6">
      <w:pPr>
        <w:spacing w:after="120" w:line="280" w:lineRule="atLeast"/>
        <w:rPr>
          <w:rFonts w:ascii="Arial" w:hAnsi="Arial" w:cs="Arial"/>
        </w:rPr>
      </w:pPr>
      <w:proofErr w:type="spellStart"/>
      <w:r>
        <w:rPr>
          <w:rFonts w:ascii="Arial" w:hAnsi="Arial" w:cs="Arial"/>
          <w:b/>
        </w:rPr>
        <w:t>R</w:t>
      </w:r>
      <w:proofErr w:type="gramStart"/>
      <w:r>
        <w:rPr>
          <w:rFonts w:ascii="Arial" w:hAnsi="Arial" w:cs="Arial"/>
          <w:b/>
        </w:rPr>
        <w:t>,</w:t>
      </w:r>
      <w:r w:rsidR="002D4AEF" w:rsidRPr="00B11FB3">
        <w:rPr>
          <w:rFonts w:ascii="Arial" w:hAnsi="Arial" w:cs="Arial"/>
          <w:b/>
        </w:rPr>
        <w:t>Fonseka</w:t>
      </w:r>
      <w:proofErr w:type="spellEnd"/>
      <w:proofErr w:type="gramEnd"/>
      <w:r w:rsidR="002D4AEF">
        <w:rPr>
          <w:rFonts w:ascii="Arial" w:hAnsi="Arial" w:cs="Arial"/>
        </w:rPr>
        <w:t>, Resident Medical Officer, Royal Prince Alfred Hospital Sydney.</w:t>
      </w:r>
    </w:p>
    <w:p w14:paraId="0C9FE7A7" w14:textId="77777777" w:rsidR="00F54CE2" w:rsidRPr="004C0DA6" w:rsidRDefault="00F54CE2" w:rsidP="004C0DA6">
      <w:pPr>
        <w:spacing w:after="120" w:line="280" w:lineRule="atLeast"/>
        <w:rPr>
          <w:rFonts w:ascii="Arial" w:hAnsi="Arial" w:cs="Arial"/>
        </w:rPr>
      </w:pPr>
    </w:p>
    <w:p w14:paraId="6D86A331" w14:textId="77777777" w:rsidR="00F54CE2" w:rsidRDefault="00F54CE2" w:rsidP="004C0DA6">
      <w:pPr>
        <w:spacing w:after="120" w:line="280" w:lineRule="atLeast"/>
        <w:rPr>
          <w:rFonts w:ascii="Arial" w:hAnsi="Arial" w:cs="Arial"/>
          <w:u w:val="single"/>
        </w:rPr>
      </w:pPr>
      <w:r w:rsidRPr="009C4515">
        <w:rPr>
          <w:rFonts w:ascii="Arial" w:hAnsi="Arial" w:cs="Arial"/>
          <w:u w:val="single"/>
        </w:rPr>
        <w:t>Background</w:t>
      </w:r>
    </w:p>
    <w:p w14:paraId="7E1ABCDA" w14:textId="77777777" w:rsidR="00BD584A" w:rsidRDefault="00BD584A" w:rsidP="004C0DA6">
      <w:pPr>
        <w:spacing w:after="120" w:line="280" w:lineRule="atLeast"/>
        <w:rPr>
          <w:rFonts w:ascii="Arial" w:hAnsi="Arial" w:cs="Arial"/>
          <w:u w:val="single"/>
        </w:rPr>
      </w:pPr>
    </w:p>
    <w:p w14:paraId="62CBE590" w14:textId="0182C626" w:rsidR="00BD584A" w:rsidRPr="00BD584A" w:rsidRDefault="00BD584A" w:rsidP="004C0DA6">
      <w:pPr>
        <w:spacing w:after="120" w:line="280" w:lineRule="atLeast"/>
        <w:rPr>
          <w:rFonts w:ascii="Arial" w:hAnsi="Arial" w:cs="Arial"/>
        </w:rPr>
      </w:pPr>
      <w:r>
        <w:rPr>
          <w:rFonts w:ascii="Arial" w:hAnsi="Arial" w:cs="Arial"/>
        </w:rPr>
        <w:t>Aneurysmal subarachnoid haemorrhage patients can suffer from se</w:t>
      </w:r>
      <w:r w:rsidR="00DA2185">
        <w:rPr>
          <w:rFonts w:ascii="Arial" w:hAnsi="Arial" w:cs="Arial"/>
        </w:rPr>
        <w:t>vere neurocognitive impairments</w:t>
      </w:r>
      <w:r w:rsidR="00FE6AA1">
        <w:rPr>
          <w:rFonts w:ascii="Arial" w:hAnsi="Arial" w:cs="Arial"/>
        </w:rPr>
        <w:t xml:space="preserve"> such as decreased conscious levels, memory and language impairments.</w:t>
      </w:r>
      <w:r w:rsidR="00DA2185">
        <w:rPr>
          <w:rFonts w:ascii="Arial" w:hAnsi="Arial" w:cs="Arial"/>
        </w:rPr>
        <w:t xml:space="preserve"> Administering the </w:t>
      </w:r>
      <w:r w:rsidR="00727E5B">
        <w:rPr>
          <w:rFonts w:ascii="Arial" w:hAnsi="Arial" w:cs="Arial"/>
        </w:rPr>
        <w:t>Parkinson’s</w:t>
      </w:r>
      <w:r w:rsidR="00D90647">
        <w:rPr>
          <w:rFonts w:ascii="Arial" w:hAnsi="Arial" w:cs="Arial"/>
        </w:rPr>
        <w:t xml:space="preserve"> </w:t>
      </w:r>
      <w:r w:rsidR="00DA2185">
        <w:rPr>
          <w:rFonts w:ascii="Arial" w:hAnsi="Arial" w:cs="Arial"/>
        </w:rPr>
        <w:t xml:space="preserve">drug amantadine as a neuro stimulant has shown promising results in </w:t>
      </w:r>
      <w:r w:rsidR="00DB7B4B">
        <w:rPr>
          <w:rFonts w:ascii="Arial" w:hAnsi="Arial" w:cs="Arial"/>
        </w:rPr>
        <w:t xml:space="preserve">the </w:t>
      </w:r>
      <w:r w:rsidR="00DA2185">
        <w:rPr>
          <w:rFonts w:ascii="Arial" w:hAnsi="Arial" w:cs="Arial"/>
        </w:rPr>
        <w:t xml:space="preserve">traumatic </w:t>
      </w:r>
      <w:r w:rsidR="007A2980">
        <w:rPr>
          <w:rFonts w:ascii="Arial" w:hAnsi="Arial" w:cs="Arial"/>
        </w:rPr>
        <w:t>brain injury</w:t>
      </w:r>
      <w:r w:rsidR="00DB7B4B">
        <w:rPr>
          <w:rFonts w:ascii="Arial" w:hAnsi="Arial" w:cs="Arial"/>
        </w:rPr>
        <w:t xml:space="preserve"> population</w:t>
      </w:r>
      <w:r w:rsidR="00D90647">
        <w:rPr>
          <w:rFonts w:ascii="Arial" w:hAnsi="Arial" w:cs="Arial"/>
        </w:rPr>
        <w:t xml:space="preserve"> group</w:t>
      </w:r>
      <w:r w:rsidR="007A2980">
        <w:rPr>
          <w:rFonts w:ascii="Arial" w:hAnsi="Arial" w:cs="Arial"/>
        </w:rPr>
        <w:t xml:space="preserve"> but there is limited study in the aneurysmal subarachnoid patient group.</w:t>
      </w:r>
    </w:p>
    <w:p w14:paraId="7AFB0C2C" w14:textId="77777777" w:rsidR="00190FA8" w:rsidRPr="004C0DA6" w:rsidRDefault="00190FA8" w:rsidP="004C0DA6">
      <w:pPr>
        <w:spacing w:after="120" w:line="280" w:lineRule="atLeast"/>
        <w:rPr>
          <w:rFonts w:ascii="Arial" w:hAnsi="Arial" w:cs="Arial"/>
        </w:rPr>
      </w:pPr>
    </w:p>
    <w:p w14:paraId="68D1889F" w14:textId="77777777" w:rsidR="00F54CE2" w:rsidRPr="004C0DA6" w:rsidRDefault="00F54CE2" w:rsidP="004C0DA6">
      <w:pPr>
        <w:spacing w:after="120" w:line="280" w:lineRule="atLeast"/>
        <w:rPr>
          <w:rFonts w:ascii="Arial" w:hAnsi="Arial" w:cs="Arial"/>
        </w:rPr>
      </w:pPr>
    </w:p>
    <w:p w14:paraId="497334EC" w14:textId="77777777" w:rsidR="00F54CE2" w:rsidRPr="009C4515" w:rsidRDefault="00F54CE2" w:rsidP="004C0DA6">
      <w:pPr>
        <w:spacing w:after="120" w:line="280" w:lineRule="atLeast"/>
        <w:rPr>
          <w:rFonts w:ascii="Arial" w:hAnsi="Arial" w:cs="Arial"/>
          <w:u w:val="single"/>
        </w:rPr>
      </w:pPr>
      <w:r w:rsidRPr="009C4515">
        <w:rPr>
          <w:rFonts w:ascii="Arial" w:hAnsi="Arial" w:cs="Arial"/>
          <w:u w:val="single"/>
        </w:rPr>
        <w:t>Method</w:t>
      </w:r>
    </w:p>
    <w:p w14:paraId="63C2108F" w14:textId="77777777" w:rsidR="00F54CE2" w:rsidRPr="004C0DA6" w:rsidRDefault="00F54CE2" w:rsidP="004C0DA6">
      <w:pPr>
        <w:spacing w:after="120" w:line="280" w:lineRule="atLeast"/>
        <w:rPr>
          <w:rFonts w:ascii="Arial" w:hAnsi="Arial" w:cs="Arial"/>
        </w:rPr>
      </w:pPr>
    </w:p>
    <w:p w14:paraId="27021B16" w14:textId="79373075" w:rsidR="00F54CE2" w:rsidRDefault="006E3C7C" w:rsidP="004C0DA6">
      <w:pPr>
        <w:spacing w:after="120" w:line="280" w:lineRule="atLeast"/>
        <w:rPr>
          <w:rFonts w:ascii="Arial" w:hAnsi="Arial" w:cs="Arial"/>
        </w:rPr>
      </w:pPr>
      <w:r w:rsidRPr="004C0DA6">
        <w:rPr>
          <w:rFonts w:ascii="Arial" w:hAnsi="Arial" w:cs="Arial"/>
        </w:rPr>
        <w:t>We retrospectively</w:t>
      </w:r>
      <w:r w:rsidR="00BD584A">
        <w:rPr>
          <w:rFonts w:ascii="Arial" w:hAnsi="Arial" w:cs="Arial"/>
        </w:rPr>
        <w:t xml:space="preserve"> identified</w:t>
      </w:r>
      <w:r w:rsidRPr="004C0DA6">
        <w:rPr>
          <w:rFonts w:ascii="Arial" w:hAnsi="Arial" w:cs="Arial"/>
        </w:rPr>
        <w:t xml:space="preserve"> </w:t>
      </w:r>
      <w:r w:rsidR="00B11FB3">
        <w:rPr>
          <w:rFonts w:ascii="Arial" w:hAnsi="Arial" w:cs="Arial"/>
        </w:rPr>
        <w:t xml:space="preserve">eight </w:t>
      </w:r>
      <w:r w:rsidR="00146C1B">
        <w:rPr>
          <w:rFonts w:ascii="Arial" w:hAnsi="Arial" w:cs="Arial"/>
        </w:rPr>
        <w:t xml:space="preserve">cases at a single institution </w:t>
      </w:r>
      <w:r w:rsidRPr="004C0DA6">
        <w:rPr>
          <w:rFonts w:ascii="Arial" w:hAnsi="Arial" w:cs="Arial"/>
        </w:rPr>
        <w:t>(Royal Prince Alfred Hospital, Sydney) after year 2000 with a diagnosis of an aneu</w:t>
      </w:r>
      <w:r w:rsidR="003E7B6B" w:rsidRPr="004C0DA6">
        <w:rPr>
          <w:rFonts w:ascii="Arial" w:hAnsi="Arial" w:cs="Arial"/>
        </w:rPr>
        <w:t xml:space="preserve">rysmal subarachnoid haemorrhage </w:t>
      </w:r>
      <w:r w:rsidR="00727E5B">
        <w:rPr>
          <w:rFonts w:ascii="Arial" w:hAnsi="Arial" w:cs="Arial"/>
        </w:rPr>
        <w:t>that</w:t>
      </w:r>
      <w:r w:rsidR="00B11FB3">
        <w:rPr>
          <w:rFonts w:ascii="Arial" w:hAnsi="Arial" w:cs="Arial"/>
        </w:rPr>
        <w:t xml:space="preserve"> </w:t>
      </w:r>
      <w:r w:rsidRPr="004C0DA6">
        <w:rPr>
          <w:rFonts w:ascii="Arial" w:hAnsi="Arial" w:cs="Arial"/>
        </w:rPr>
        <w:t>were administered amantadine after ictus in an attempt to improve neurocognitive function.</w:t>
      </w:r>
      <w:r w:rsidR="009C4515">
        <w:rPr>
          <w:rFonts w:ascii="Arial" w:hAnsi="Arial" w:cs="Arial"/>
        </w:rPr>
        <w:t xml:space="preserve"> </w:t>
      </w:r>
    </w:p>
    <w:p w14:paraId="16D5EC5E" w14:textId="77777777" w:rsidR="003E7B6B" w:rsidRPr="004C0DA6" w:rsidRDefault="003E7B6B" w:rsidP="004C0DA6">
      <w:pPr>
        <w:spacing w:after="120" w:line="280" w:lineRule="atLeast"/>
        <w:rPr>
          <w:rFonts w:ascii="Arial" w:hAnsi="Arial" w:cs="Arial"/>
        </w:rPr>
      </w:pPr>
    </w:p>
    <w:p w14:paraId="27D98FAB" w14:textId="63A64E67" w:rsidR="003E7B6B" w:rsidRPr="004C0DA6" w:rsidRDefault="003E7B6B" w:rsidP="004C0DA6">
      <w:pPr>
        <w:spacing w:after="120" w:line="280" w:lineRule="atLeast"/>
        <w:rPr>
          <w:rFonts w:ascii="Arial" w:hAnsi="Arial" w:cs="Arial"/>
        </w:rPr>
      </w:pPr>
      <w:r w:rsidRPr="004C0DA6">
        <w:rPr>
          <w:rFonts w:ascii="Arial" w:hAnsi="Arial" w:cs="Arial"/>
        </w:rPr>
        <w:t>We performed a literature search on aneurysmal subarachnoid haemorrhage patients who were administered amantadine and measured their neurocognitive status after year 2000. The PRISMA statement guidelines were followed when selecting studies for inclusion and extracting data.</w:t>
      </w:r>
      <w:r w:rsidR="00BD584A">
        <w:rPr>
          <w:rFonts w:ascii="Arial" w:hAnsi="Arial" w:cs="Arial"/>
        </w:rPr>
        <w:t xml:space="preserve"> Please see </w:t>
      </w:r>
      <w:r w:rsidR="00BD584A" w:rsidRPr="00A601AE">
        <w:rPr>
          <w:rFonts w:ascii="Arial" w:hAnsi="Arial" w:cs="Arial"/>
          <w:b/>
        </w:rPr>
        <w:t>Figure 1.1</w:t>
      </w:r>
    </w:p>
    <w:p w14:paraId="6AA3D2E5" w14:textId="77777777" w:rsidR="00F54CE2" w:rsidRPr="004C0DA6" w:rsidRDefault="00F54CE2" w:rsidP="00876B24">
      <w:pPr>
        <w:tabs>
          <w:tab w:val="left" w:pos="3544"/>
        </w:tabs>
        <w:spacing w:after="120" w:line="280" w:lineRule="atLeast"/>
        <w:rPr>
          <w:rFonts w:ascii="Arial" w:hAnsi="Arial" w:cs="Arial"/>
        </w:rPr>
      </w:pPr>
    </w:p>
    <w:p w14:paraId="29DE81C5" w14:textId="77777777" w:rsidR="00F54CE2" w:rsidRPr="009C4515" w:rsidRDefault="00F54CE2" w:rsidP="004C0DA6">
      <w:pPr>
        <w:spacing w:after="120" w:line="280" w:lineRule="atLeast"/>
        <w:rPr>
          <w:rFonts w:ascii="Arial" w:hAnsi="Arial" w:cs="Arial"/>
          <w:u w:val="single"/>
        </w:rPr>
      </w:pPr>
      <w:r w:rsidRPr="009C4515">
        <w:rPr>
          <w:rFonts w:ascii="Arial" w:hAnsi="Arial" w:cs="Arial"/>
          <w:u w:val="single"/>
        </w:rPr>
        <w:t>Results</w:t>
      </w:r>
    </w:p>
    <w:p w14:paraId="58252F97" w14:textId="77777777" w:rsidR="00F54CE2" w:rsidRPr="004C0DA6" w:rsidRDefault="00F54CE2" w:rsidP="004C0DA6">
      <w:pPr>
        <w:spacing w:after="120" w:line="280" w:lineRule="atLeast"/>
        <w:rPr>
          <w:rFonts w:ascii="Arial" w:hAnsi="Arial" w:cs="Arial"/>
        </w:rPr>
      </w:pPr>
    </w:p>
    <w:p w14:paraId="259FA992" w14:textId="1241237C" w:rsidR="009C4515" w:rsidRDefault="006E3C7C" w:rsidP="004C0DA6">
      <w:pPr>
        <w:spacing w:after="120" w:line="280" w:lineRule="atLeast"/>
        <w:rPr>
          <w:rFonts w:ascii="Arial" w:hAnsi="Arial" w:cs="Arial"/>
        </w:rPr>
      </w:pPr>
      <w:r w:rsidRPr="004C0DA6">
        <w:rPr>
          <w:rFonts w:ascii="Arial" w:hAnsi="Arial" w:cs="Arial"/>
        </w:rPr>
        <w:t xml:space="preserve">We identified eight patients at our institution </w:t>
      </w:r>
      <w:r w:rsidR="00B11FB3" w:rsidRPr="004C0DA6">
        <w:rPr>
          <w:rFonts w:ascii="Arial" w:hAnsi="Arial" w:cs="Arial"/>
        </w:rPr>
        <w:t>that</w:t>
      </w:r>
      <w:r w:rsidRPr="004C0DA6">
        <w:rPr>
          <w:rFonts w:ascii="Arial" w:hAnsi="Arial" w:cs="Arial"/>
        </w:rPr>
        <w:t xml:space="preserve"> met eligibility criteria. Four patients had a GCS improvement of at least two points within 21 days after amantadine initiation.</w:t>
      </w:r>
      <w:r w:rsidR="0089199B">
        <w:rPr>
          <w:rFonts w:ascii="Arial" w:hAnsi="Arial" w:cs="Arial"/>
        </w:rPr>
        <w:t xml:space="preserve"> This is summarised in </w:t>
      </w:r>
      <w:r w:rsidR="0089199B" w:rsidRPr="00A601AE">
        <w:rPr>
          <w:rFonts w:ascii="Arial" w:hAnsi="Arial" w:cs="Arial"/>
          <w:b/>
        </w:rPr>
        <w:t>T</w:t>
      </w:r>
      <w:r w:rsidR="009C4515" w:rsidRPr="00A601AE">
        <w:rPr>
          <w:rFonts w:ascii="Arial" w:hAnsi="Arial" w:cs="Arial"/>
          <w:b/>
        </w:rPr>
        <w:t>able 1.1</w:t>
      </w:r>
    </w:p>
    <w:p w14:paraId="524F738C" w14:textId="77777777" w:rsidR="00D90647" w:rsidRDefault="00D90647" w:rsidP="004C0DA6">
      <w:pPr>
        <w:spacing w:after="120" w:line="280" w:lineRule="atLeast"/>
        <w:rPr>
          <w:rFonts w:ascii="Arial" w:hAnsi="Arial" w:cs="Arial"/>
        </w:rPr>
      </w:pPr>
    </w:p>
    <w:p w14:paraId="4D10A42A" w14:textId="0CC36023" w:rsidR="00D90647" w:rsidRDefault="00D90647" w:rsidP="004C0DA6">
      <w:pPr>
        <w:spacing w:after="120" w:line="280" w:lineRule="atLeast"/>
        <w:rPr>
          <w:rFonts w:ascii="Arial" w:hAnsi="Arial" w:cs="Arial"/>
        </w:rPr>
      </w:pPr>
      <w:r>
        <w:rPr>
          <w:rFonts w:ascii="Arial" w:hAnsi="Arial" w:cs="Arial"/>
        </w:rPr>
        <w:t xml:space="preserve">The </w:t>
      </w:r>
      <w:r w:rsidR="00727E5B">
        <w:rPr>
          <w:rFonts w:ascii="Arial" w:hAnsi="Arial" w:cs="Arial"/>
        </w:rPr>
        <w:t>extracted</w:t>
      </w:r>
      <w:r>
        <w:rPr>
          <w:rFonts w:ascii="Arial" w:hAnsi="Arial" w:cs="Arial"/>
        </w:rPr>
        <w:t xml:space="preserve"> data from our literature search</w:t>
      </w:r>
      <w:r w:rsidR="00727E5B">
        <w:rPr>
          <w:rFonts w:ascii="Arial" w:hAnsi="Arial" w:cs="Arial"/>
        </w:rPr>
        <w:t xml:space="preserve"> showed in two studies (Akcil et al and Ruhl et al) where amantadine was introduced early showed significant </w:t>
      </w:r>
      <w:r w:rsidR="00727E5B">
        <w:rPr>
          <w:rFonts w:ascii="Arial" w:hAnsi="Arial" w:cs="Arial"/>
        </w:rPr>
        <w:lastRenderedPageBreak/>
        <w:t>improvement in level of consciousness in participants who received amantadine compared to the controls.</w:t>
      </w:r>
    </w:p>
    <w:p w14:paraId="4C6DAF13" w14:textId="77777777" w:rsidR="00D90647" w:rsidRDefault="00D90647" w:rsidP="004C0DA6">
      <w:pPr>
        <w:spacing w:after="120" w:line="280" w:lineRule="atLeast"/>
        <w:rPr>
          <w:rFonts w:ascii="Arial" w:hAnsi="Arial" w:cs="Arial"/>
        </w:rPr>
      </w:pPr>
    </w:p>
    <w:p w14:paraId="25989B95" w14:textId="77777777" w:rsidR="00F54CE2" w:rsidRPr="004C0DA6" w:rsidRDefault="00F54CE2" w:rsidP="004C0DA6">
      <w:pPr>
        <w:spacing w:after="120" w:line="280" w:lineRule="atLeast"/>
        <w:rPr>
          <w:rFonts w:ascii="Arial" w:hAnsi="Arial" w:cs="Arial"/>
        </w:rPr>
      </w:pPr>
    </w:p>
    <w:p w14:paraId="6A957027" w14:textId="77777777" w:rsidR="00F54CE2" w:rsidRPr="00BD584A" w:rsidRDefault="00F54CE2" w:rsidP="004C0DA6">
      <w:pPr>
        <w:spacing w:after="120" w:line="280" w:lineRule="atLeast"/>
        <w:rPr>
          <w:rFonts w:ascii="Arial" w:hAnsi="Arial" w:cs="Arial"/>
          <w:u w:val="single"/>
        </w:rPr>
      </w:pPr>
      <w:r w:rsidRPr="00BD584A">
        <w:rPr>
          <w:rFonts w:ascii="Arial" w:hAnsi="Arial" w:cs="Arial"/>
          <w:u w:val="single"/>
        </w:rPr>
        <w:t>Conclusion</w:t>
      </w:r>
    </w:p>
    <w:p w14:paraId="01FC7DE2" w14:textId="77777777" w:rsidR="006E3C7C" w:rsidRPr="004C0DA6" w:rsidRDefault="006E3C7C" w:rsidP="004C0DA6">
      <w:pPr>
        <w:spacing w:after="120" w:line="280" w:lineRule="atLeast"/>
        <w:rPr>
          <w:rFonts w:ascii="Arial" w:hAnsi="Arial" w:cs="Arial"/>
        </w:rPr>
      </w:pPr>
    </w:p>
    <w:p w14:paraId="4E76084A" w14:textId="16EB8CD3" w:rsidR="006E3C7C" w:rsidRDefault="00DA2185" w:rsidP="004C0DA6">
      <w:pPr>
        <w:spacing w:after="120" w:line="280" w:lineRule="atLeast"/>
        <w:rPr>
          <w:rFonts w:ascii="Arial" w:hAnsi="Arial" w:cs="Arial"/>
        </w:rPr>
      </w:pPr>
      <w:r>
        <w:rPr>
          <w:rFonts w:ascii="Arial" w:hAnsi="Arial" w:cs="Arial"/>
        </w:rPr>
        <w:t xml:space="preserve">The case review and literature search supports </w:t>
      </w:r>
      <w:r w:rsidR="003E7B6B" w:rsidRPr="004C0DA6">
        <w:rPr>
          <w:rFonts w:ascii="Arial" w:hAnsi="Arial" w:cs="Arial"/>
        </w:rPr>
        <w:t xml:space="preserve">Amantadine </w:t>
      </w:r>
      <w:r w:rsidR="00B11FB3">
        <w:rPr>
          <w:rFonts w:ascii="Arial" w:hAnsi="Arial" w:cs="Arial"/>
        </w:rPr>
        <w:t>along with current standard treatment can improve consciousness levels and improve neurocognitive function in aneurysmal subarachnoid haemorrhage patients.</w:t>
      </w:r>
      <w:r>
        <w:rPr>
          <w:rFonts w:ascii="Arial" w:hAnsi="Arial" w:cs="Arial"/>
        </w:rPr>
        <w:t xml:space="preserve"> More research is needed to find out the best population group, effective dosage and duration as w</w:t>
      </w:r>
      <w:bookmarkStart w:id="0" w:name="_GoBack"/>
      <w:bookmarkEnd w:id="0"/>
      <w:r>
        <w:rPr>
          <w:rFonts w:ascii="Arial" w:hAnsi="Arial" w:cs="Arial"/>
        </w:rPr>
        <w:t>ell as timing of its initiation the acute care setting.</w:t>
      </w:r>
    </w:p>
    <w:p w14:paraId="6ED4A37B" w14:textId="77777777" w:rsidR="0047023B" w:rsidRDefault="0047023B">
      <w:pPr>
        <w:rPr>
          <w:rFonts w:ascii="Arial" w:hAnsi="Arial" w:cs="Arial"/>
        </w:rPr>
        <w:sectPr w:rsidR="0047023B" w:rsidSect="0047023B">
          <w:pgSz w:w="11900" w:h="16840"/>
          <w:pgMar w:top="1440" w:right="1800" w:bottom="1440" w:left="1800" w:header="708" w:footer="708" w:gutter="0"/>
          <w:cols w:space="708"/>
          <w:docGrid w:linePitch="360"/>
        </w:sectPr>
      </w:pPr>
    </w:p>
    <w:p w14:paraId="31FDA0AD" w14:textId="6E909DB7" w:rsidR="00876B24" w:rsidRDefault="00876B24">
      <w:pPr>
        <w:rPr>
          <w:rFonts w:ascii="Arial" w:hAnsi="Arial" w:cs="Arial"/>
        </w:rPr>
      </w:pPr>
    </w:p>
    <w:tbl>
      <w:tblPr>
        <w:tblStyle w:val="TableGrid"/>
        <w:tblW w:w="14318" w:type="dxa"/>
        <w:tblInd w:w="-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706"/>
        <w:gridCol w:w="2051"/>
        <w:gridCol w:w="1011"/>
        <w:gridCol w:w="1207"/>
        <w:gridCol w:w="1415"/>
        <w:gridCol w:w="1641"/>
        <w:gridCol w:w="1902"/>
        <w:gridCol w:w="1701"/>
        <w:gridCol w:w="1701"/>
      </w:tblGrid>
      <w:tr w:rsidR="0047023B" w14:paraId="0EB1CA49" w14:textId="77777777" w:rsidTr="00146C1B">
        <w:tc>
          <w:tcPr>
            <w:tcW w:w="983" w:type="dxa"/>
            <w:tcBorders>
              <w:top w:val="single" w:sz="4" w:space="0" w:color="auto"/>
              <w:bottom w:val="single" w:sz="4" w:space="0" w:color="auto"/>
            </w:tcBorders>
          </w:tcPr>
          <w:p w14:paraId="46CF083D" w14:textId="77777777" w:rsidR="0047023B" w:rsidRDefault="0047023B" w:rsidP="00146C1B">
            <w:pPr>
              <w:rPr>
                <w:rFonts w:ascii="Arial" w:hAnsi="Arial" w:cs="Arial"/>
              </w:rPr>
            </w:pPr>
            <w:r>
              <w:rPr>
                <w:rFonts w:ascii="Arial" w:hAnsi="Arial" w:cs="Arial"/>
              </w:rPr>
              <w:t>Patient</w:t>
            </w:r>
          </w:p>
        </w:tc>
        <w:tc>
          <w:tcPr>
            <w:tcW w:w="706" w:type="dxa"/>
            <w:tcBorders>
              <w:top w:val="single" w:sz="4" w:space="0" w:color="auto"/>
              <w:bottom w:val="single" w:sz="4" w:space="0" w:color="auto"/>
            </w:tcBorders>
          </w:tcPr>
          <w:p w14:paraId="0F7BF331" w14:textId="77777777" w:rsidR="0047023B" w:rsidRDefault="0047023B" w:rsidP="00146C1B">
            <w:pPr>
              <w:rPr>
                <w:rFonts w:ascii="Arial" w:hAnsi="Arial" w:cs="Arial"/>
              </w:rPr>
            </w:pPr>
            <w:r>
              <w:rPr>
                <w:rFonts w:ascii="Arial" w:hAnsi="Arial" w:cs="Arial"/>
              </w:rPr>
              <w:t>Age, sex</w:t>
            </w:r>
          </w:p>
        </w:tc>
        <w:tc>
          <w:tcPr>
            <w:tcW w:w="2051" w:type="dxa"/>
            <w:tcBorders>
              <w:top w:val="single" w:sz="4" w:space="0" w:color="auto"/>
              <w:bottom w:val="single" w:sz="4" w:space="0" w:color="auto"/>
            </w:tcBorders>
          </w:tcPr>
          <w:p w14:paraId="212D5FEA" w14:textId="77777777" w:rsidR="0047023B" w:rsidRDefault="0047023B" w:rsidP="00146C1B">
            <w:pPr>
              <w:rPr>
                <w:rFonts w:ascii="Arial" w:hAnsi="Arial" w:cs="Arial"/>
              </w:rPr>
            </w:pPr>
            <w:r>
              <w:rPr>
                <w:rFonts w:ascii="Arial" w:hAnsi="Arial" w:cs="Arial"/>
              </w:rPr>
              <w:t>Aneurysm location</w:t>
            </w:r>
          </w:p>
        </w:tc>
        <w:tc>
          <w:tcPr>
            <w:tcW w:w="1011" w:type="dxa"/>
            <w:tcBorders>
              <w:top w:val="single" w:sz="4" w:space="0" w:color="auto"/>
              <w:bottom w:val="single" w:sz="4" w:space="0" w:color="auto"/>
            </w:tcBorders>
          </w:tcPr>
          <w:p w14:paraId="64C567ED" w14:textId="77777777" w:rsidR="0047023B" w:rsidRDefault="0047023B" w:rsidP="00146C1B">
            <w:pPr>
              <w:rPr>
                <w:rFonts w:ascii="Arial" w:hAnsi="Arial" w:cs="Arial"/>
              </w:rPr>
            </w:pPr>
            <w:r>
              <w:rPr>
                <w:rFonts w:ascii="Arial" w:hAnsi="Arial" w:cs="Arial"/>
              </w:rPr>
              <w:t xml:space="preserve">WFNS, </w:t>
            </w:r>
            <w:proofErr w:type="spellStart"/>
            <w:r>
              <w:rPr>
                <w:rFonts w:ascii="Arial" w:hAnsi="Arial" w:cs="Arial"/>
              </w:rPr>
              <w:t>mFisher</w:t>
            </w:r>
            <w:proofErr w:type="spellEnd"/>
          </w:p>
        </w:tc>
        <w:tc>
          <w:tcPr>
            <w:tcW w:w="1207" w:type="dxa"/>
            <w:tcBorders>
              <w:top w:val="single" w:sz="4" w:space="0" w:color="auto"/>
              <w:bottom w:val="single" w:sz="4" w:space="0" w:color="auto"/>
            </w:tcBorders>
          </w:tcPr>
          <w:p w14:paraId="0430D9B9" w14:textId="77777777" w:rsidR="0047023B" w:rsidRDefault="0047023B" w:rsidP="00146C1B">
            <w:pPr>
              <w:rPr>
                <w:rFonts w:ascii="Arial" w:hAnsi="Arial" w:cs="Arial"/>
              </w:rPr>
            </w:pPr>
            <w:r>
              <w:rPr>
                <w:rFonts w:ascii="Arial" w:hAnsi="Arial" w:cs="Arial"/>
              </w:rPr>
              <w:t>GCS on admission</w:t>
            </w:r>
          </w:p>
        </w:tc>
        <w:tc>
          <w:tcPr>
            <w:tcW w:w="1415" w:type="dxa"/>
            <w:tcBorders>
              <w:top w:val="single" w:sz="4" w:space="0" w:color="auto"/>
              <w:bottom w:val="single" w:sz="4" w:space="0" w:color="auto"/>
            </w:tcBorders>
          </w:tcPr>
          <w:p w14:paraId="611D53E3" w14:textId="77777777" w:rsidR="0047023B" w:rsidRDefault="0047023B" w:rsidP="00146C1B">
            <w:pPr>
              <w:rPr>
                <w:rFonts w:ascii="Arial" w:hAnsi="Arial" w:cs="Arial"/>
              </w:rPr>
            </w:pPr>
            <w:r>
              <w:rPr>
                <w:rFonts w:ascii="Arial" w:hAnsi="Arial" w:cs="Arial"/>
              </w:rPr>
              <w:t>GCS when amantadine commenced</w:t>
            </w:r>
          </w:p>
        </w:tc>
        <w:tc>
          <w:tcPr>
            <w:tcW w:w="1641" w:type="dxa"/>
            <w:tcBorders>
              <w:top w:val="single" w:sz="4" w:space="0" w:color="auto"/>
              <w:bottom w:val="single" w:sz="4" w:space="0" w:color="auto"/>
            </w:tcBorders>
          </w:tcPr>
          <w:p w14:paraId="3D2828D2" w14:textId="77777777" w:rsidR="0047023B" w:rsidRDefault="0047023B" w:rsidP="00146C1B">
            <w:pPr>
              <w:rPr>
                <w:rFonts w:ascii="Arial" w:hAnsi="Arial" w:cs="Arial"/>
              </w:rPr>
            </w:pPr>
            <w:r>
              <w:rPr>
                <w:rFonts w:ascii="Arial" w:hAnsi="Arial" w:cs="Arial"/>
              </w:rPr>
              <w:t>Days after ictus when amantadine commenced</w:t>
            </w:r>
          </w:p>
        </w:tc>
        <w:tc>
          <w:tcPr>
            <w:tcW w:w="1902" w:type="dxa"/>
            <w:tcBorders>
              <w:top w:val="single" w:sz="4" w:space="0" w:color="auto"/>
              <w:bottom w:val="single" w:sz="4" w:space="0" w:color="auto"/>
            </w:tcBorders>
          </w:tcPr>
          <w:p w14:paraId="48B2D5B5" w14:textId="77777777" w:rsidR="0047023B" w:rsidRDefault="0047023B" w:rsidP="00146C1B">
            <w:pPr>
              <w:rPr>
                <w:rFonts w:ascii="Arial" w:hAnsi="Arial" w:cs="Arial"/>
              </w:rPr>
            </w:pPr>
            <w:r>
              <w:rPr>
                <w:rFonts w:ascii="Arial" w:hAnsi="Arial" w:cs="Arial"/>
              </w:rPr>
              <w:t>GCS 7 days after amantadine commenced</w:t>
            </w:r>
          </w:p>
        </w:tc>
        <w:tc>
          <w:tcPr>
            <w:tcW w:w="1701" w:type="dxa"/>
            <w:tcBorders>
              <w:top w:val="single" w:sz="4" w:space="0" w:color="auto"/>
              <w:bottom w:val="single" w:sz="4" w:space="0" w:color="auto"/>
            </w:tcBorders>
          </w:tcPr>
          <w:p w14:paraId="0FBD5D4B" w14:textId="77777777" w:rsidR="0047023B" w:rsidRDefault="0047023B" w:rsidP="00146C1B">
            <w:pPr>
              <w:rPr>
                <w:rFonts w:ascii="Arial" w:hAnsi="Arial" w:cs="Arial"/>
              </w:rPr>
            </w:pPr>
            <w:r>
              <w:rPr>
                <w:rFonts w:ascii="Arial" w:hAnsi="Arial" w:cs="Arial"/>
              </w:rPr>
              <w:t>GCS 14 days after amantadine commenced</w:t>
            </w:r>
          </w:p>
        </w:tc>
        <w:tc>
          <w:tcPr>
            <w:tcW w:w="1701" w:type="dxa"/>
            <w:tcBorders>
              <w:top w:val="single" w:sz="4" w:space="0" w:color="auto"/>
              <w:bottom w:val="single" w:sz="4" w:space="0" w:color="auto"/>
            </w:tcBorders>
          </w:tcPr>
          <w:p w14:paraId="6EB0C63B" w14:textId="77777777" w:rsidR="0047023B" w:rsidRDefault="0047023B" w:rsidP="00146C1B">
            <w:pPr>
              <w:rPr>
                <w:rFonts w:ascii="Arial" w:hAnsi="Arial" w:cs="Arial"/>
              </w:rPr>
            </w:pPr>
            <w:r>
              <w:rPr>
                <w:rFonts w:ascii="Arial" w:hAnsi="Arial" w:cs="Arial"/>
              </w:rPr>
              <w:t>GCS 21 days after amantadine commenced</w:t>
            </w:r>
          </w:p>
        </w:tc>
      </w:tr>
      <w:tr w:rsidR="0047023B" w14:paraId="0531FCCF" w14:textId="77777777" w:rsidTr="00146C1B">
        <w:tc>
          <w:tcPr>
            <w:tcW w:w="983" w:type="dxa"/>
            <w:tcBorders>
              <w:top w:val="single" w:sz="4" w:space="0" w:color="auto"/>
            </w:tcBorders>
          </w:tcPr>
          <w:p w14:paraId="55AA07F1" w14:textId="77777777" w:rsidR="0047023B" w:rsidRDefault="0047023B" w:rsidP="00146C1B">
            <w:pPr>
              <w:jc w:val="center"/>
              <w:rPr>
                <w:rFonts w:ascii="Arial" w:hAnsi="Arial" w:cs="Arial"/>
              </w:rPr>
            </w:pPr>
            <w:r>
              <w:rPr>
                <w:rFonts w:ascii="Arial" w:hAnsi="Arial" w:cs="Arial"/>
              </w:rPr>
              <w:t>SQ</w:t>
            </w:r>
          </w:p>
        </w:tc>
        <w:tc>
          <w:tcPr>
            <w:tcW w:w="706" w:type="dxa"/>
            <w:tcBorders>
              <w:top w:val="single" w:sz="4" w:space="0" w:color="auto"/>
            </w:tcBorders>
          </w:tcPr>
          <w:p w14:paraId="76FF95F1" w14:textId="77777777" w:rsidR="0047023B" w:rsidRDefault="0047023B" w:rsidP="00146C1B">
            <w:pPr>
              <w:jc w:val="center"/>
              <w:rPr>
                <w:rFonts w:ascii="Arial" w:hAnsi="Arial" w:cs="Arial"/>
              </w:rPr>
            </w:pPr>
            <w:r>
              <w:rPr>
                <w:rFonts w:ascii="Arial" w:hAnsi="Arial" w:cs="Arial"/>
              </w:rPr>
              <w:t>54M</w:t>
            </w:r>
          </w:p>
        </w:tc>
        <w:tc>
          <w:tcPr>
            <w:tcW w:w="2051" w:type="dxa"/>
            <w:tcBorders>
              <w:top w:val="single" w:sz="4" w:space="0" w:color="auto"/>
            </w:tcBorders>
          </w:tcPr>
          <w:p w14:paraId="4628463F" w14:textId="77777777" w:rsidR="0047023B" w:rsidRDefault="0047023B" w:rsidP="00146C1B">
            <w:pPr>
              <w:rPr>
                <w:rFonts w:ascii="Arial" w:hAnsi="Arial" w:cs="Arial"/>
              </w:rPr>
            </w:pPr>
            <w:r>
              <w:rPr>
                <w:rFonts w:ascii="Arial" w:hAnsi="Arial" w:cs="Arial"/>
              </w:rPr>
              <w:t>MCA</w:t>
            </w:r>
          </w:p>
        </w:tc>
        <w:tc>
          <w:tcPr>
            <w:tcW w:w="1011" w:type="dxa"/>
            <w:tcBorders>
              <w:top w:val="single" w:sz="4" w:space="0" w:color="auto"/>
            </w:tcBorders>
          </w:tcPr>
          <w:p w14:paraId="121BB6EE" w14:textId="77777777" w:rsidR="0047023B" w:rsidRDefault="0047023B" w:rsidP="00146C1B">
            <w:pPr>
              <w:jc w:val="center"/>
              <w:rPr>
                <w:rFonts w:ascii="Arial" w:hAnsi="Arial" w:cs="Arial"/>
              </w:rPr>
            </w:pPr>
            <w:r>
              <w:rPr>
                <w:rFonts w:ascii="Arial" w:hAnsi="Arial" w:cs="Arial"/>
              </w:rPr>
              <w:t>IV, III</w:t>
            </w:r>
          </w:p>
        </w:tc>
        <w:tc>
          <w:tcPr>
            <w:tcW w:w="1207" w:type="dxa"/>
            <w:tcBorders>
              <w:top w:val="single" w:sz="4" w:space="0" w:color="auto"/>
            </w:tcBorders>
          </w:tcPr>
          <w:p w14:paraId="4C458C58" w14:textId="77777777" w:rsidR="0047023B" w:rsidRDefault="0047023B" w:rsidP="00146C1B">
            <w:pPr>
              <w:jc w:val="center"/>
              <w:rPr>
                <w:rFonts w:ascii="Arial" w:hAnsi="Arial" w:cs="Arial"/>
              </w:rPr>
            </w:pPr>
            <w:r>
              <w:rPr>
                <w:rFonts w:ascii="Arial" w:hAnsi="Arial" w:cs="Arial"/>
              </w:rPr>
              <w:t>10</w:t>
            </w:r>
          </w:p>
        </w:tc>
        <w:tc>
          <w:tcPr>
            <w:tcW w:w="1415" w:type="dxa"/>
            <w:tcBorders>
              <w:top w:val="single" w:sz="4" w:space="0" w:color="auto"/>
            </w:tcBorders>
          </w:tcPr>
          <w:p w14:paraId="2325FB8A" w14:textId="77777777" w:rsidR="0047023B" w:rsidRDefault="0047023B" w:rsidP="00146C1B">
            <w:pPr>
              <w:jc w:val="center"/>
              <w:rPr>
                <w:rFonts w:ascii="Arial" w:hAnsi="Arial" w:cs="Arial"/>
              </w:rPr>
            </w:pPr>
            <w:r>
              <w:rPr>
                <w:rFonts w:ascii="Arial" w:hAnsi="Arial" w:cs="Arial"/>
              </w:rPr>
              <w:t>14</w:t>
            </w:r>
          </w:p>
        </w:tc>
        <w:tc>
          <w:tcPr>
            <w:tcW w:w="1641" w:type="dxa"/>
            <w:tcBorders>
              <w:top w:val="single" w:sz="4" w:space="0" w:color="auto"/>
            </w:tcBorders>
          </w:tcPr>
          <w:p w14:paraId="032FA25F" w14:textId="77777777" w:rsidR="0047023B" w:rsidRDefault="0047023B" w:rsidP="00146C1B">
            <w:pPr>
              <w:jc w:val="center"/>
              <w:rPr>
                <w:rFonts w:ascii="Arial" w:hAnsi="Arial" w:cs="Arial"/>
              </w:rPr>
            </w:pPr>
            <w:r>
              <w:rPr>
                <w:rFonts w:ascii="Arial" w:hAnsi="Arial" w:cs="Arial"/>
              </w:rPr>
              <w:t>37</w:t>
            </w:r>
          </w:p>
        </w:tc>
        <w:tc>
          <w:tcPr>
            <w:tcW w:w="1902" w:type="dxa"/>
            <w:tcBorders>
              <w:top w:val="single" w:sz="4" w:space="0" w:color="auto"/>
            </w:tcBorders>
          </w:tcPr>
          <w:p w14:paraId="5574C3B1" w14:textId="77777777" w:rsidR="0047023B" w:rsidRDefault="0047023B" w:rsidP="00146C1B">
            <w:pPr>
              <w:jc w:val="center"/>
              <w:rPr>
                <w:rFonts w:ascii="Arial" w:hAnsi="Arial" w:cs="Arial"/>
              </w:rPr>
            </w:pPr>
            <w:r>
              <w:rPr>
                <w:rFonts w:ascii="Arial" w:hAnsi="Arial" w:cs="Arial"/>
              </w:rPr>
              <w:t>14</w:t>
            </w:r>
          </w:p>
        </w:tc>
        <w:tc>
          <w:tcPr>
            <w:tcW w:w="1701" w:type="dxa"/>
            <w:tcBorders>
              <w:top w:val="single" w:sz="4" w:space="0" w:color="auto"/>
            </w:tcBorders>
          </w:tcPr>
          <w:p w14:paraId="7B844B72" w14:textId="77777777" w:rsidR="0047023B" w:rsidRDefault="0047023B" w:rsidP="00146C1B">
            <w:pPr>
              <w:jc w:val="center"/>
              <w:rPr>
                <w:rFonts w:ascii="Arial" w:hAnsi="Arial" w:cs="Arial"/>
              </w:rPr>
            </w:pPr>
            <w:r>
              <w:rPr>
                <w:rFonts w:ascii="Arial" w:hAnsi="Arial" w:cs="Arial"/>
              </w:rPr>
              <w:t>N/A</w:t>
            </w:r>
          </w:p>
        </w:tc>
        <w:tc>
          <w:tcPr>
            <w:tcW w:w="1701" w:type="dxa"/>
            <w:tcBorders>
              <w:top w:val="single" w:sz="4" w:space="0" w:color="auto"/>
            </w:tcBorders>
          </w:tcPr>
          <w:p w14:paraId="1D4F45B5" w14:textId="77777777" w:rsidR="0047023B" w:rsidRDefault="0047023B" w:rsidP="00146C1B">
            <w:pPr>
              <w:jc w:val="center"/>
              <w:rPr>
                <w:rFonts w:ascii="Arial" w:hAnsi="Arial" w:cs="Arial"/>
              </w:rPr>
            </w:pPr>
            <w:r>
              <w:rPr>
                <w:rFonts w:ascii="Arial" w:hAnsi="Arial" w:cs="Arial"/>
              </w:rPr>
              <w:t>N/A</w:t>
            </w:r>
          </w:p>
        </w:tc>
      </w:tr>
      <w:tr w:rsidR="0047023B" w14:paraId="391ADBB1" w14:textId="77777777" w:rsidTr="00146C1B">
        <w:tc>
          <w:tcPr>
            <w:tcW w:w="983" w:type="dxa"/>
          </w:tcPr>
          <w:p w14:paraId="69BC52AF" w14:textId="77777777" w:rsidR="0047023B" w:rsidRDefault="0047023B" w:rsidP="00146C1B">
            <w:pPr>
              <w:jc w:val="center"/>
              <w:rPr>
                <w:rFonts w:ascii="Arial" w:hAnsi="Arial" w:cs="Arial"/>
              </w:rPr>
            </w:pPr>
            <w:r>
              <w:rPr>
                <w:rFonts w:ascii="Arial" w:hAnsi="Arial" w:cs="Arial"/>
              </w:rPr>
              <w:t>GL</w:t>
            </w:r>
          </w:p>
        </w:tc>
        <w:tc>
          <w:tcPr>
            <w:tcW w:w="706" w:type="dxa"/>
          </w:tcPr>
          <w:p w14:paraId="78BCFA55" w14:textId="77777777" w:rsidR="0047023B" w:rsidRDefault="0047023B" w:rsidP="00146C1B">
            <w:pPr>
              <w:jc w:val="center"/>
              <w:rPr>
                <w:rFonts w:ascii="Arial" w:hAnsi="Arial" w:cs="Arial"/>
              </w:rPr>
            </w:pPr>
            <w:r>
              <w:rPr>
                <w:rFonts w:ascii="Arial" w:hAnsi="Arial" w:cs="Arial"/>
              </w:rPr>
              <w:t>83M</w:t>
            </w:r>
          </w:p>
        </w:tc>
        <w:tc>
          <w:tcPr>
            <w:tcW w:w="2051" w:type="dxa"/>
          </w:tcPr>
          <w:p w14:paraId="04DC8B44" w14:textId="77777777" w:rsidR="0047023B" w:rsidRDefault="0047023B" w:rsidP="00146C1B">
            <w:pPr>
              <w:rPr>
                <w:rFonts w:ascii="Arial" w:hAnsi="Arial" w:cs="Arial"/>
              </w:rPr>
            </w:pPr>
            <w:proofErr w:type="spellStart"/>
            <w:r>
              <w:rPr>
                <w:rFonts w:ascii="Arial" w:hAnsi="Arial" w:cs="Arial"/>
              </w:rPr>
              <w:t>Supraclinoid</w:t>
            </w:r>
            <w:proofErr w:type="spellEnd"/>
            <w:r>
              <w:rPr>
                <w:rFonts w:ascii="Arial" w:hAnsi="Arial" w:cs="Arial"/>
              </w:rPr>
              <w:t xml:space="preserve"> ICA</w:t>
            </w:r>
          </w:p>
        </w:tc>
        <w:tc>
          <w:tcPr>
            <w:tcW w:w="1011" w:type="dxa"/>
          </w:tcPr>
          <w:p w14:paraId="1BD750E6" w14:textId="77777777" w:rsidR="0047023B" w:rsidRDefault="0047023B" w:rsidP="00146C1B">
            <w:pPr>
              <w:jc w:val="center"/>
              <w:rPr>
                <w:rFonts w:ascii="Arial" w:hAnsi="Arial" w:cs="Arial"/>
              </w:rPr>
            </w:pPr>
            <w:r>
              <w:rPr>
                <w:rFonts w:ascii="Arial" w:hAnsi="Arial" w:cs="Arial"/>
              </w:rPr>
              <w:t>V, III</w:t>
            </w:r>
          </w:p>
        </w:tc>
        <w:tc>
          <w:tcPr>
            <w:tcW w:w="1207" w:type="dxa"/>
          </w:tcPr>
          <w:p w14:paraId="2E474CF1" w14:textId="77777777" w:rsidR="0047023B" w:rsidRDefault="0047023B" w:rsidP="00146C1B">
            <w:pPr>
              <w:jc w:val="center"/>
              <w:rPr>
                <w:rFonts w:ascii="Arial" w:hAnsi="Arial" w:cs="Arial"/>
              </w:rPr>
            </w:pPr>
            <w:r>
              <w:rPr>
                <w:rFonts w:ascii="Arial" w:hAnsi="Arial" w:cs="Arial"/>
              </w:rPr>
              <w:t>3</w:t>
            </w:r>
          </w:p>
        </w:tc>
        <w:tc>
          <w:tcPr>
            <w:tcW w:w="1415" w:type="dxa"/>
          </w:tcPr>
          <w:p w14:paraId="005F74AC" w14:textId="77777777" w:rsidR="0047023B" w:rsidRDefault="0047023B" w:rsidP="00146C1B">
            <w:pPr>
              <w:jc w:val="center"/>
              <w:rPr>
                <w:rFonts w:ascii="Arial" w:hAnsi="Arial" w:cs="Arial"/>
              </w:rPr>
            </w:pPr>
            <w:r>
              <w:rPr>
                <w:rFonts w:ascii="Arial" w:hAnsi="Arial" w:cs="Arial"/>
              </w:rPr>
              <w:t>3</w:t>
            </w:r>
          </w:p>
        </w:tc>
        <w:tc>
          <w:tcPr>
            <w:tcW w:w="1641" w:type="dxa"/>
          </w:tcPr>
          <w:p w14:paraId="690BAA05" w14:textId="77777777" w:rsidR="0047023B" w:rsidRDefault="0047023B" w:rsidP="00146C1B">
            <w:pPr>
              <w:jc w:val="center"/>
              <w:rPr>
                <w:rFonts w:ascii="Arial" w:hAnsi="Arial" w:cs="Arial"/>
              </w:rPr>
            </w:pPr>
            <w:r>
              <w:rPr>
                <w:rFonts w:ascii="Arial" w:hAnsi="Arial" w:cs="Arial"/>
              </w:rPr>
              <w:t>32</w:t>
            </w:r>
          </w:p>
        </w:tc>
        <w:tc>
          <w:tcPr>
            <w:tcW w:w="1902" w:type="dxa"/>
          </w:tcPr>
          <w:p w14:paraId="7F868337" w14:textId="77777777" w:rsidR="0047023B" w:rsidRDefault="0047023B" w:rsidP="00146C1B">
            <w:pPr>
              <w:jc w:val="center"/>
              <w:rPr>
                <w:rFonts w:ascii="Arial" w:hAnsi="Arial" w:cs="Arial"/>
              </w:rPr>
            </w:pPr>
            <w:r>
              <w:rPr>
                <w:rFonts w:ascii="Arial" w:hAnsi="Arial" w:cs="Arial"/>
              </w:rPr>
              <w:t>4</w:t>
            </w:r>
          </w:p>
        </w:tc>
        <w:tc>
          <w:tcPr>
            <w:tcW w:w="1701" w:type="dxa"/>
          </w:tcPr>
          <w:p w14:paraId="6664D7CE" w14:textId="77777777" w:rsidR="0047023B" w:rsidRDefault="0047023B" w:rsidP="00146C1B">
            <w:pPr>
              <w:jc w:val="center"/>
              <w:rPr>
                <w:rFonts w:ascii="Arial" w:hAnsi="Arial" w:cs="Arial"/>
              </w:rPr>
            </w:pPr>
            <w:r>
              <w:rPr>
                <w:rFonts w:ascii="Arial" w:hAnsi="Arial" w:cs="Arial"/>
              </w:rPr>
              <w:t>N/A</w:t>
            </w:r>
          </w:p>
        </w:tc>
        <w:tc>
          <w:tcPr>
            <w:tcW w:w="1701" w:type="dxa"/>
          </w:tcPr>
          <w:p w14:paraId="45B7D95F" w14:textId="77777777" w:rsidR="0047023B" w:rsidRDefault="0047023B" w:rsidP="00146C1B">
            <w:pPr>
              <w:jc w:val="center"/>
              <w:rPr>
                <w:rFonts w:ascii="Arial" w:hAnsi="Arial" w:cs="Arial"/>
              </w:rPr>
            </w:pPr>
            <w:r>
              <w:rPr>
                <w:rFonts w:ascii="Arial" w:hAnsi="Arial" w:cs="Arial"/>
              </w:rPr>
              <w:t>N/A</w:t>
            </w:r>
          </w:p>
        </w:tc>
      </w:tr>
      <w:tr w:rsidR="0047023B" w14:paraId="36FAC282" w14:textId="77777777" w:rsidTr="00146C1B">
        <w:tc>
          <w:tcPr>
            <w:tcW w:w="983" w:type="dxa"/>
          </w:tcPr>
          <w:p w14:paraId="566AE865" w14:textId="77777777" w:rsidR="0047023B" w:rsidRDefault="0047023B" w:rsidP="00146C1B">
            <w:pPr>
              <w:jc w:val="center"/>
              <w:rPr>
                <w:rFonts w:ascii="Arial" w:hAnsi="Arial" w:cs="Arial"/>
              </w:rPr>
            </w:pPr>
            <w:r>
              <w:rPr>
                <w:rFonts w:ascii="Arial" w:hAnsi="Arial" w:cs="Arial"/>
              </w:rPr>
              <w:t>RL</w:t>
            </w:r>
          </w:p>
        </w:tc>
        <w:tc>
          <w:tcPr>
            <w:tcW w:w="706" w:type="dxa"/>
          </w:tcPr>
          <w:p w14:paraId="5E625563" w14:textId="77777777" w:rsidR="0047023B" w:rsidRDefault="0047023B" w:rsidP="00146C1B">
            <w:pPr>
              <w:jc w:val="center"/>
              <w:rPr>
                <w:rFonts w:ascii="Arial" w:hAnsi="Arial" w:cs="Arial"/>
              </w:rPr>
            </w:pPr>
            <w:r>
              <w:rPr>
                <w:rFonts w:ascii="Arial" w:hAnsi="Arial" w:cs="Arial"/>
              </w:rPr>
              <w:t>76F</w:t>
            </w:r>
          </w:p>
        </w:tc>
        <w:tc>
          <w:tcPr>
            <w:tcW w:w="2051" w:type="dxa"/>
          </w:tcPr>
          <w:p w14:paraId="7D72A9FA" w14:textId="77777777" w:rsidR="0047023B" w:rsidRDefault="0047023B" w:rsidP="00146C1B">
            <w:pPr>
              <w:rPr>
                <w:rFonts w:ascii="Arial" w:hAnsi="Arial" w:cs="Arial"/>
              </w:rPr>
            </w:pPr>
            <w:r>
              <w:rPr>
                <w:rFonts w:ascii="Arial" w:hAnsi="Arial" w:cs="Arial"/>
              </w:rPr>
              <w:t>ACA</w:t>
            </w:r>
          </w:p>
        </w:tc>
        <w:tc>
          <w:tcPr>
            <w:tcW w:w="1011" w:type="dxa"/>
          </w:tcPr>
          <w:p w14:paraId="32EFD50E" w14:textId="77777777" w:rsidR="0047023B" w:rsidRDefault="0047023B" w:rsidP="00146C1B">
            <w:pPr>
              <w:jc w:val="center"/>
              <w:rPr>
                <w:rFonts w:ascii="Arial" w:hAnsi="Arial" w:cs="Arial"/>
              </w:rPr>
            </w:pPr>
            <w:r>
              <w:rPr>
                <w:rFonts w:ascii="Arial" w:hAnsi="Arial" w:cs="Arial"/>
              </w:rPr>
              <w:t>V, I</w:t>
            </w:r>
          </w:p>
        </w:tc>
        <w:tc>
          <w:tcPr>
            <w:tcW w:w="1207" w:type="dxa"/>
          </w:tcPr>
          <w:p w14:paraId="35CD5008" w14:textId="77777777" w:rsidR="0047023B" w:rsidRDefault="0047023B" w:rsidP="00146C1B">
            <w:pPr>
              <w:jc w:val="center"/>
              <w:rPr>
                <w:rFonts w:ascii="Arial" w:hAnsi="Arial" w:cs="Arial"/>
              </w:rPr>
            </w:pPr>
            <w:r>
              <w:rPr>
                <w:rFonts w:ascii="Arial" w:hAnsi="Arial" w:cs="Arial"/>
              </w:rPr>
              <w:t>3</w:t>
            </w:r>
          </w:p>
        </w:tc>
        <w:tc>
          <w:tcPr>
            <w:tcW w:w="1415" w:type="dxa"/>
          </w:tcPr>
          <w:p w14:paraId="2084037F" w14:textId="77777777" w:rsidR="0047023B" w:rsidRDefault="0047023B" w:rsidP="00146C1B">
            <w:pPr>
              <w:jc w:val="center"/>
              <w:rPr>
                <w:rFonts w:ascii="Arial" w:hAnsi="Arial" w:cs="Arial"/>
              </w:rPr>
            </w:pPr>
            <w:r>
              <w:rPr>
                <w:rFonts w:ascii="Arial" w:hAnsi="Arial" w:cs="Arial"/>
              </w:rPr>
              <w:t>11</w:t>
            </w:r>
          </w:p>
        </w:tc>
        <w:tc>
          <w:tcPr>
            <w:tcW w:w="1641" w:type="dxa"/>
          </w:tcPr>
          <w:p w14:paraId="0386E8A5" w14:textId="77777777" w:rsidR="0047023B" w:rsidRDefault="0047023B" w:rsidP="00146C1B">
            <w:pPr>
              <w:jc w:val="center"/>
              <w:rPr>
                <w:rFonts w:ascii="Arial" w:hAnsi="Arial" w:cs="Arial"/>
              </w:rPr>
            </w:pPr>
            <w:r>
              <w:rPr>
                <w:rFonts w:ascii="Arial" w:hAnsi="Arial" w:cs="Arial"/>
              </w:rPr>
              <w:t>18</w:t>
            </w:r>
          </w:p>
        </w:tc>
        <w:tc>
          <w:tcPr>
            <w:tcW w:w="1902" w:type="dxa"/>
          </w:tcPr>
          <w:p w14:paraId="6997BCAF" w14:textId="77777777" w:rsidR="0047023B" w:rsidRDefault="0047023B" w:rsidP="00146C1B">
            <w:pPr>
              <w:jc w:val="center"/>
              <w:rPr>
                <w:rFonts w:ascii="Arial" w:hAnsi="Arial" w:cs="Arial"/>
              </w:rPr>
            </w:pPr>
            <w:r>
              <w:rPr>
                <w:rFonts w:ascii="Arial" w:hAnsi="Arial" w:cs="Arial"/>
              </w:rPr>
              <w:t>12</w:t>
            </w:r>
          </w:p>
        </w:tc>
        <w:tc>
          <w:tcPr>
            <w:tcW w:w="1701" w:type="dxa"/>
          </w:tcPr>
          <w:p w14:paraId="7D2E6EFF" w14:textId="77777777" w:rsidR="0047023B" w:rsidRDefault="0047023B" w:rsidP="00146C1B">
            <w:pPr>
              <w:jc w:val="center"/>
              <w:rPr>
                <w:rFonts w:ascii="Arial" w:hAnsi="Arial" w:cs="Arial"/>
              </w:rPr>
            </w:pPr>
            <w:r>
              <w:rPr>
                <w:rFonts w:ascii="Arial" w:hAnsi="Arial" w:cs="Arial"/>
              </w:rPr>
              <w:t>12</w:t>
            </w:r>
          </w:p>
        </w:tc>
        <w:tc>
          <w:tcPr>
            <w:tcW w:w="1701" w:type="dxa"/>
          </w:tcPr>
          <w:p w14:paraId="79651C47" w14:textId="77777777" w:rsidR="0047023B" w:rsidRDefault="0047023B" w:rsidP="00146C1B">
            <w:pPr>
              <w:jc w:val="center"/>
              <w:rPr>
                <w:rFonts w:ascii="Arial" w:hAnsi="Arial" w:cs="Arial"/>
              </w:rPr>
            </w:pPr>
            <w:r>
              <w:rPr>
                <w:rFonts w:ascii="Arial" w:hAnsi="Arial" w:cs="Arial"/>
              </w:rPr>
              <w:t>N/A</w:t>
            </w:r>
          </w:p>
        </w:tc>
      </w:tr>
      <w:tr w:rsidR="0047023B" w14:paraId="76E4EBF9" w14:textId="77777777" w:rsidTr="00146C1B">
        <w:tc>
          <w:tcPr>
            <w:tcW w:w="983" w:type="dxa"/>
          </w:tcPr>
          <w:p w14:paraId="4D04D2A9" w14:textId="77777777" w:rsidR="0047023B" w:rsidRDefault="0047023B" w:rsidP="00146C1B">
            <w:pPr>
              <w:jc w:val="center"/>
              <w:rPr>
                <w:rFonts w:ascii="Arial" w:hAnsi="Arial" w:cs="Arial"/>
              </w:rPr>
            </w:pPr>
            <w:r>
              <w:rPr>
                <w:rFonts w:ascii="Arial" w:hAnsi="Arial" w:cs="Arial"/>
              </w:rPr>
              <w:t>AL*</w:t>
            </w:r>
          </w:p>
        </w:tc>
        <w:tc>
          <w:tcPr>
            <w:tcW w:w="706" w:type="dxa"/>
          </w:tcPr>
          <w:p w14:paraId="4D128AA4" w14:textId="77777777" w:rsidR="0047023B" w:rsidRDefault="0047023B" w:rsidP="00146C1B">
            <w:pPr>
              <w:jc w:val="center"/>
              <w:rPr>
                <w:rFonts w:ascii="Arial" w:hAnsi="Arial" w:cs="Arial"/>
              </w:rPr>
            </w:pPr>
            <w:r>
              <w:rPr>
                <w:rFonts w:ascii="Arial" w:hAnsi="Arial" w:cs="Arial"/>
              </w:rPr>
              <w:t>64F</w:t>
            </w:r>
          </w:p>
        </w:tc>
        <w:tc>
          <w:tcPr>
            <w:tcW w:w="2051" w:type="dxa"/>
          </w:tcPr>
          <w:p w14:paraId="5B5D88F9" w14:textId="77777777" w:rsidR="0047023B" w:rsidRDefault="0047023B" w:rsidP="00146C1B">
            <w:pPr>
              <w:rPr>
                <w:rFonts w:ascii="Arial" w:hAnsi="Arial" w:cs="Arial"/>
              </w:rPr>
            </w:pPr>
            <w:r>
              <w:rPr>
                <w:rFonts w:ascii="Arial" w:hAnsi="Arial" w:cs="Arial"/>
              </w:rPr>
              <w:t>MCA</w:t>
            </w:r>
          </w:p>
        </w:tc>
        <w:tc>
          <w:tcPr>
            <w:tcW w:w="1011" w:type="dxa"/>
          </w:tcPr>
          <w:p w14:paraId="2E5C98AB" w14:textId="77777777" w:rsidR="0047023B" w:rsidRDefault="0047023B" w:rsidP="00146C1B">
            <w:pPr>
              <w:jc w:val="center"/>
              <w:rPr>
                <w:rFonts w:ascii="Arial" w:hAnsi="Arial" w:cs="Arial"/>
              </w:rPr>
            </w:pPr>
            <w:r>
              <w:rPr>
                <w:rFonts w:ascii="Arial" w:hAnsi="Arial" w:cs="Arial"/>
              </w:rPr>
              <w:t>V, III</w:t>
            </w:r>
          </w:p>
        </w:tc>
        <w:tc>
          <w:tcPr>
            <w:tcW w:w="1207" w:type="dxa"/>
          </w:tcPr>
          <w:p w14:paraId="3159944A" w14:textId="77777777" w:rsidR="0047023B" w:rsidRDefault="0047023B" w:rsidP="00146C1B">
            <w:pPr>
              <w:jc w:val="center"/>
              <w:rPr>
                <w:rFonts w:ascii="Arial" w:hAnsi="Arial" w:cs="Arial"/>
              </w:rPr>
            </w:pPr>
            <w:r>
              <w:rPr>
                <w:rFonts w:ascii="Arial" w:hAnsi="Arial" w:cs="Arial"/>
              </w:rPr>
              <w:t>3</w:t>
            </w:r>
          </w:p>
        </w:tc>
        <w:tc>
          <w:tcPr>
            <w:tcW w:w="1415" w:type="dxa"/>
          </w:tcPr>
          <w:p w14:paraId="549AAF40" w14:textId="77777777" w:rsidR="0047023B" w:rsidRDefault="0047023B" w:rsidP="00146C1B">
            <w:pPr>
              <w:jc w:val="center"/>
              <w:rPr>
                <w:rFonts w:ascii="Arial" w:hAnsi="Arial" w:cs="Arial"/>
              </w:rPr>
            </w:pPr>
            <w:r>
              <w:rPr>
                <w:rFonts w:ascii="Arial" w:hAnsi="Arial" w:cs="Arial"/>
              </w:rPr>
              <w:t>11</w:t>
            </w:r>
          </w:p>
        </w:tc>
        <w:tc>
          <w:tcPr>
            <w:tcW w:w="1641" w:type="dxa"/>
          </w:tcPr>
          <w:p w14:paraId="4D421852" w14:textId="77777777" w:rsidR="0047023B" w:rsidRDefault="0047023B" w:rsidP="00146C1B">
            <w:pPr>
              <w:jc w:val="center"/>
              <w:rPr>
                <w:rFonts w:ascii="Arial" w:hAnsi="Arial" w:cs="Arial"/>
              </w:rPr>
            </w:pPr>
            <w:r>
              <w:rPr>
                <w:rFonts w:ascii="Arial" w:hAnsi="Arial" w:cs="Arial"/>
              </w:rPr>
              <w:t>44</w:t>
            </w:r>
          </w:p>
        </w:tc>
        <w:tc>
          <w:tcPr>
            <w:tcW w:w="1902" w:type="dxa"/>
          </w:tcPr>
          <w:p w14:paraId="7BABD51B" w14:textId="77777777" w:rsidR="0047023B" w:rsidRDefault="0047023B" w:rsidP="00146C1B">
            <w:pPr>
              <w:jc w:val="center"/>
              <w:rPr>
                <w:rFonts w:ascii="Arial" w:hAnsi="Arial" w:cs="Arial"/>
              </w:rPr>
            </w:pPr>
            <w:r>
              <w:rPr>
                <w:rFonts w:ascii="Arial" w:hAnsi="Arial" w:cs="Arial"/>
              </w:rPr>
              <w:t>11</w:t>
            </w:r>
          </w:p>
        </w:tc>
        <w:tc>
          <w:tcPr>
            <w:tcW w:w="1701" w:type="dxa"/>
          </w:tcPr>
          <w:p w14:paraId="0A1B6C6A" w14:textId="77777777" w:rsidR="0047023B" w:rsidRDefault="0047023B" w:rsidP="00146C1B">
            <w:pPr>
              <w:jc w:val="center"/>
              <w:rPr>
                <w:rFonts w:ascii="Arial" w:hAnsi="Arial" w:cs="Arial"/>
              </w:rPr>
            </w:pPr>
            <w:r>
              <w:rPr>
                <w:rFonts w:ascii="Arial" w:hAnsi="Arial" w:cs="Arial"/>
              </w:rPr>
              <w:t>11</w:t>
            </w:r>
          </w:p>
        </w:tc>
        <w:tc>
          <w:tcPr>
            <w:tcW w:w="1701" w:type="dxa"/>
          </w:tcPr>
          <w:p w14:paraId="591ADEDF" w14:textId="77777777" w:rsidR="0047023B" w:rsidRDefault="0047023B" w:rsidP="00146C1B">
            <w:pPr>
              <w:jc w:val="center"/>
              <w:rPr>
                <w:rFonts w:ascii="Arial" w:hAnsi="Arial" w:cs="Arial"/>
              </w:rPr>
            </w:pPr>
            <w:r>
              <w:rPr>
                <w:rFonts w:ascii="Arial" w:hAnsi="Arial" w:cs="Arial"/>
              </w:rPr>
              <w:t>13</w:t>
            </w:r>
          </w:p>
        </w:tc>
      </w:tr>
      <w:tr w:rsidR="0047023B" w14:paraId="14D16340" w14:textId="77777777" w:rsidTr="00146C1B">
        <w:tc>
          <w:tcPr>
            <w:tcW w:w="983" w:type="dxa"/>
          </w:tcPr>
          <w:p w14:paraId="473D9CED" w14:textId="77777777" w:rsidR="0047023B" w:rsidRDefault="0047023B" w:rsidP="00146C1B">
            <w:pPr>
              <w:jc w:val="center"/>
              <w:rPr>
                <w:rFonts w:ascii="Arial" w:hAnsi="Arial" w:cs="Arial"/>
              </w:rPr>
            </w:pPr>
            <w:r>
              <w:rPr>
                <w:rFonts w:ascii="Arial" w:hAnsi="Arial" w:cs="Arial"/>
              </w:rPr>
              <w:t>EH*</w:t>
            </w:r>
          </w:p>
        </w:tc>
        <w:tc>
          <w:tcPr>
            <w:tcW w:w="706" w:type="dxa"/>
          </w:tcPr>
          <w:p w14:paraId="21BA187A" w14:textId="77777777" w:rsidR="0047023B" w:rsidRDefault="0047023B" w:rsidP="00146C1B">
            <w:pPr>
              <w:jc w:val="center"/>
              <w:rPr>
                <w:rFonts w:ascii="Arial" w:hAnsi="Arial" w:cs="Arial"/>
              </w:rPr>
            </w:pPr>
            <w:r>
              <w:rPr>
                <w:rFonts w:ascii="Arial" w:hAnsi="Arial" w:cs="Arial"/>
              </w:rPr>
              <w:t>78F</w:t>
            </w:r>
          </w:p>
        </w:tc>
        <w:tc>
          <w:tcPr>
            <w:tcW w:w="2051" w:type="dxa"/>
          </w:tcPr>
          <w:p w14:paraId="7B49B4C4" w14:textId="77777777" w:rsidR="0047023B" w:rsidRDefault="0047023B" w:rsidP="00146C1B">
            <w:pPr>
              <w:rPr>
                <w:rFonts w:ascii="Arial" w:hAnsi="Arial" w:cs="Arial"/>
              </w:rPr>
            </w:pPr>
            <w:r>
              <w:rPr>
                <w:rFonts w:ascii="Arial" w:hAnsi="Arial" w:cs="Arial"/>
              </w:rPr>
              <w:t>PCOM</w:t>
            </w:r>
          </w:p>
        </w:tc>
        <w:tc>
          <w:tcPr>
            <w:tcW w:w="1011" w:type="dxa"/>
          </w:tcPr>
          <w:p w14:paraId="55A8C919" w14:textId="77777777" w:rsidR="0047023B" w:rsidRDefault="0047023B" w:rsidP="00146C1B">
            <w:pPr>
              <w:jc w:val="center"/>
              <w:rPr>
                <w:rFonts w:ascii="Arial" w:hAnsi="Arial" w:cs="Arial"/>
              </w:rPr>
            </w:pPr>
            <w:r>
              <w:rPr>
                <w:rFonts w:ascii="Arial" w:hAnsi="Arial" w:cs="Arial"/>
              </w:rPr>
              <w:t>V, IV</w:t>
            </w:r>
          </w:p>
        </w:tc>
        <w:tc>
          <w:tcPr>
            <w:tcW w:w="1207" w:type="dxa"/>
          </w:tcPr>
          <w:p w14:paraId="4737B4B3" w14:textId="77777777" w:rsidR="0047023B" w:rsidRDefault="0047023B" w:rsidP="00146C1B">
            <w:pPr>
              <w:jc w:val="center"/>
              <w:rPr>
                <w:rFonts w:ascii="Arial" w:hAnsi="Arial" w:cs="Arial"/>
              </w:rPr>
            </w:pPr>
            <w:r>
              <w:rPr>
                <w:rFonts w:ascii="Arial" w:hAnsi="Arial" w:cs="Arial"/>
              </w:rPr>
              <w:t>6</w:t>
            </w:r>
          </w:p>
        </w:tc>
        <w:tc>
          <w:tcPr>
            <w:tcW w:w="1415" w:type="dxa"/>
          </w:tcPr>
          <w:p w14:paraId="3F1C1117" w14:textId="77777777" w:rsidR="0047023B" w:rsidRDefault="0047023B" w:rsidP="00146C1B">
            <w:pPr>
              <w:jc w:val="center"/>
              <w:rPr>
                <w:rFonts w:ascii="Arial" w:hAnsi="Arial" w:cs="Arial"/>
              </w:rPr>
            </w:pPr>
            <w:r>
              <w:rPr>
                <w:rFonts w:ascii="Arial" w:hAnsi="Arial" w:cs="Arial"/>
              </w:rPr>
              <w:t>11</w:t>
            </w:r>
          </w:p>
        </w:tc>
        <w:tc>
          <w:tcPr>
            <w:tcW w:w="1641" w:type="dxa"/>
          </w:tcPr>
          <w:p w14:paraId="32C885EF" w14:textId="77777777" w:rsidR="0047023B" w:rsidRDefault="0047023B" w:rsidP="00146C1B">
            <w:pPr>
              <w:jc w:val="center"/>
              <w:rPr>
                <w:rFonts w:ascii="Arial" w:hAnsi="Arial" w:cs="Arial"/>
              </w:rPr>
            </w:pPr>
            <w:r>
              <w:rPr>
                <w:rFonts w:ascii="Arial" w:hAnsi="Arial" w:cs="Arial"/>
              </w:rPr>
              <w:t>47</w:t>
            </w:r>
          </w:p>
        </w:tc>
        <w:tc>
          <w:tcPr>
            <w:tcW w:w="1902" w:type="dxa"/>
          </w:tcPr>
          <w:p w14:paraId="51C6EEDA" w14:textId="77777777" w:rsidR="0047023B" w:rsidRDefault="0047023B" w:rsidP="00146C1B">
            <w:pPr>
              <w:jc w:val="center"/>
              <w:rPr>
                <w:rFonts w:ascii="Arial" w:hAnsi="Arial" w:cs="Arial"/>
              </w:rPr>
            </w:pPr>
            <w:r>
              <w:rPr>
                <w:rFonts w:ascii="Arial" w:hAnsi="Arial" w:cs="Arial"/>
              </w:rPr>
              <w:t>13</w:t>
            </w:r>
          </w:p>
        </w:tc>
        <w:tc>
          <w:tcPr>
            <w:tcW w:w="1701" w:type="dxa"/>
          </w:tcPr>
          <w:p w14:paraId="57C5F08B" w14:textId="77777777" w:rsidR="0047023B" w:rsidRDefault="0047023B" w:rsidP="00146C1B">
            <w:pPr>
              <w:jc w:val="center"/>
              <w:rPr>
                <w:rFonts w:ascii="Arial" w:hAnsi="Arial" w:cs="Arial"/>
              </w:rPr>
            </w:pPr>
            <w:r>
              <w:rPr>
                <w:rFonts w:ascii="Arial" w:hAnsi="Arial" w:cs="Arial"/>
              </w:rPr>
              <w:t>14</w:t>
            </w:r>
          </w:p>
        </w:tc>
        <w:tc>
          <w:tcPr>
            <w:tcW w:w="1701" w:type="dxa"/>
          </w:tcPr>
          <w:p w14:paraId="5FA9EC0C" w14:textId="77777777" w:rsidR="0047023B" w:rsidRDefault="0047023B" w:rsidP="00146C1B">
            <w:pPr>
              <w:jc w:val="center"/>
              <w:rPr>
                <w:rFonts w:ascii="Arial" w:hAnsi="Arial" w:cs="Arial"/>
              </w:rPr>
            </w:pPr>
            <w:r>
              <w:rPr>
                <w:rFonts w:ascii="Arial" w:hAnsi="Arial" w:cs="Arial"/>
              </w:rPr>
              <w:t>14</w:t>
            </w:r>
          </w:p>
        </w:tc>
      </w:tr>
      <w:tr w:rsidR="0047023B" w14:paraId="2378902A" w14:textId="77777777" w:rsidTr="00146C1B">
        <w:tc>
          <w:tcPr>
            <w:tcW w:w="983" w:type="dxa"/>
          </w:tcPr>
          <w:p w14:paraId="3FD94E64" w14:textId="77777777" w:rsidR="0047023B" w:rsidRDefault="0047023B" w:rsidP="00146C1B">
            <w:pPr>
              <w:jc w:val="center"/>
              <w:rPr>
                <w:rFonts w:ascii="Arial" w:hAnsi="Arial" w:cs="Arial"/>
              </w:rPr>
            </w:pPr>
            <w:r>
              <w:rPr>
                <w:rFonts w:ascii="Arial" w:hAnsi="Arial" w:cs="Arial"/>
              </w:rPr>
              <w:t>KH*</w:t>
            </w:r>
          </w:p>
        </w:tc>
        <w:tc>
          <w:tcPr>
            <w:tcW w:w="706" w:type="dxa"/>
          </w:tcPr>
          <w:p w14:paraId="0EA11864" w14:textId="77777777" w:rsidR="0047023B" w:rsidRDefault="0047023B" w:rsidP="00146C1B">
            <w:pPr>
              <w:jc w:val="center"/>
              <w:rPr>
                <w:rFonts w:ascii="Arial" w:hAnsi="Arial" w:cs="Arial"/>
              </w:rPr>
            </w:pPr>
            <w:r>
              <w:rPr>
                <w:rFonts w:ascii="Arial" w:hAnsi="Arial" w:cs="Arial"/>
              </w:rPr>
              <w:t>60F</w:t>
            </w:r>
          </w:p>
        </w:tc>
        <w:tc>
          <w:tcPr>
            <w:tcW w:w="2051" w:type="dxa"/>
          </w:tcPr>
          <w:p w14:paraId="5531616F" w14:textId="77777777" w:rsidR="0047023B" w:rsidRDefault="0047023B" w:rsidP="00146C1B">
            <w:pPr>
              <w:rPr>
                <w:rFonts w:ascii="Arial" w:hAnsi="Arial" w:cs="Arial"/>
              </w:rPr>
            </w:pPr>
            <w:r>
              <w:rPr>
                <w:rFonts w:ascii="Arial" w:hAnsi="Arial" w:cs="Arial"/>
              </w:rPr>
              <w:t>Basilar</w:t>
            </w:r>
          </w:p>
        </w:tc>
        <w:tc>
          <w:tcPr>
            <w:tcW w:w="1011" w:type="dxa"/>
          </w:tcPr>
          <w:p w14:paraId="6273C680" w14:textId="77777777" w:rsidR="0047023B" w:rsidRDefault="0047023B" w:rsidP="00146C1B">
            <w:pPr>
              <w:jc w:val="center"/>
              <w:rPr>
                <w:rFonts w:ascii="Arial" w:hAnsi="Arial" w:cs="Arial"/>
              </w:rPr>
            </w:pPr>
            <w:r>
              <w:rPr>
                <w:rFonts w:ascii="Arial" w:hAnsi="Arial" w:cs="Arial"/>
              </w:rPr>
              <w:t>V, IV</w:t>
            </w:r>
          </w:p>
        </w:tc>
        <w:tc>
          <w:tcPr>
            <w:tcW w:w="1207" w:type="dxa"/>
          </w:tcPr>
          <w:p w14:paraId="0E92FAEA" w14:textId="77777777" w:rsidR="0047023B" w:rsidRDefault="0047023B" w:rsidP="00146C1B">
            <w:pPr>
              <w:jc w:val="center"/>
              <w:rPr>
                <w:rFonts w:ascii="Arial" w:hAnsi="Arial" w:cs="Arial"/>
              </w:rPr>
            </w:pPr>
            <w:r>
              <w:rPr>
                <w:rFonts w:ascii="Arial" w:hAnsi="Arial" w:cs="Arial"/>
              </w:rPr>
              <w:t>3</w:t>
            </w:r>
          </w:p>
        </w:tc>
        <w:tc>
          <w:tcPr>
            <w:tcW w:w="1415" w:type="dxa"/>
          </w:tcPr>
          <w:p w14:paraId="37B09164" w14:textId="77777777" w:rsidR="0047023B" w:rsidRDefault="0047023B" w:rsidP="00146C1B">
            <w:pPr>
              <w:jc w:val="center"/>
              <w:rPr>
                <w:rFonts w:ascii="Arial" w:hAnsi="Arial" w:cs="Arial"/>
              </w:rPr>
            </w:pPr>
            <w:r>
              <w:rPr>
                <w:rFonts w:ascii="Arial" w:hAnsi="Arial" w:cs="Arial"/>
              </w:rPr>
              <w:t>9</w:t>
            </w:r>
          </w:p>
        </w:tc>
        <w:tc>
          <w:tcPr>
            <w:tcW w:w="1641" w:type="dxa"/>
          </w:tcPr>
          <w:p w14:paraId="0BC66D84" w14:textId="77777777" w:rsidR="0047023B" w:rsidRDefault="0047023B" w:rsidP="00146C1B">
            <w:pPr>
              <w:jc w:val="center"/>
              <w:rPr>
                <w:rFonts w:ascii="Arial" w:hAnsi="Arial" w:cs="Arial"/>
              </w:rPr>
            </w:pPr>
            <w:r>
              <w:rPr>
                <w:rFonts w:ascii="Arial" w:hAnsi="Arial" w:cs="Arial"/>
              </w:rPr>
              <w:t>181</w:t>
            </w:r>
          </w:p>
        </w:tc>
        <w:tc>
          <w:tcPr>
            <w:tcW w:w="1902" w:type="dxa"/>
          </w:tcPr>
          <w:p w14:paraId="56641FAB" w14:textId="77777777" w:rsidR="0047023B" w:rsidRDefault="0047023B" w:rsidP="00146C1B">
            <w:pPr>
              <w:jc w:val="center"/>
              <w:rPr>
                <w:rFonts w:ascii="Arial" w:hAnsi="Arial" w:cs="Arial"/>
              </w:rPr>
            </w:pPr>
            <w:r>
              <w:rPr>
                <w:rFonts w:ascii="Arial" w:hAnsi="Arial" w:cs="Arial"/>
              </w:rPr>
              <w:t>10</w:t>
            </w:r>
          </w:p>
        </w:tc>
        <w:tc>
          <w:tcPr>
            <w:tcW w:w="1701" w:type="dxa"/>
          </w:tcPr>
          <w:p w14:paraId="5A1FBE3C" w14:textId="77777777" w:rsidR="0047023B" w:rsidRDefault="0047023B" w:rsidP="00146C1B">
            <w:pPr>
              <w:jc w:val="center"/>
              <w:rPr>
                <w:rFonts w:ascii="Arial" w:hAnsi="Arial" w:cs="Arial"/>
              </w:rPr>
            </w:pPr>
            <w:r>
              <w:rPr>
                <w:rFonts w:ascii="Arial" w:hAnsi="Arial" w:cs="Arial"/>
              </w:rPr>
              <w:t>13</w:t>
            </w:r>
          </w:p>
        </w:tc>
        <w:tc>
          <w:tcPr>
            <w:tcW w:w="1701" w:type="dxa"/>
          </w:tcPr>
          <w:p w14:paraId="0ED1D8D8" w14:textId="77777777" w:rsidR="0047023B" w:rsidRDefault="0047023B" w:rsidP="00146C1B">
            <w:pPr>
              <w:jc w:val="center"/>
              <w:rPr>
                <w:rFonts w:ascii="Arial" w:hAnsi="Arial" w:cs="Arial"/>
              </w:rPr>
            </w:pPr>
            <w:r>
              <w:rPr>
                <w:rFonts w:ascii="Arial" w:hAnsi="Arial" w:cs="Arial"/>
              </w:rPr>
              <w:t>14</w:t>
            </w:r>
          </w:p>
        </w:tc>
      </w:tr>
      <w:tr w:rsidR="0047023B" w14:paraId="7EEB06EF" w14:textId="77777777" w:rsidTr="00146C1B">
        <w:tc>
          <w:tcPr>
            <w:tcW w:w="983" w:type="dxa"/>
          </w:tcPr>
          <w:p w14:paraId="633F6FDA" w14:textId="77777777" w:rsidR="0047023B" w:rsidRDefault="0047023B" w:rsidP="00146C1B">
            <w:pPr>
              <w:jc w:val="center"/>
              <w:rPr>
                <w:rFonts w:ascii="Arial" w:hAnsi="Arial" w:cs="Arial"/>
              </w:rPr>
            </w:pPr>
            <w:r>
              <w:rPr>
                <w:rFonts w:ascii="Arial" w:hAnsi="Arial" w:cs="Arial"/>
              </w:rPr>
              <w:t>YL*</w:t>
            </w:r>
          </w:p>
        </w:tc>
        <w:tc>
          <w:tcPr>
            <w:tcW w:w="706" w:type="dxa"/>
          </w:tcPr>
          <w:p w14:paraId="13B2DACF" w14:textId="77777777" w:rsidR="0047023B" w:rsidRDefault="0047023B" w:rsidP="00146C1B">
            <w:pPr>
              <w:jc w:val="center"/>
              <w:rPr>
                <w:rFonts w:ascii="Arial" w:hAnsi="Arial" w:cs="Arial"/>
              </w:rPr>
            </w:pPr>
            <w:r>
              <w:rPr>
                <w:rFonts w:ascii="Arial" w:hAnsi="Arial" w:cs="Arial"/>
              </w:rPr>
              <w:t>61M</w:t>
            </w:r>
          </w:p>
        </w:tc>
        <w:tc>
          <w:tcPr>
            <w:tcW w:w="2051" w:type="dxa"/>
          </w:tcPr>
          <w:p w14:paraId="4F80FE28" w14:textId="77777777" w:rsidR="0047023B" w:rsidRDefault="0047023B" w:rsidP="00146C1B">
            <w:pPr>
              <w:rPr>
                <w:rFonts w:ascii="Arial" w:hAnsi="Arial" w:cs="Arial"/>
              </w:rPr>
            </w:pPr>
            <w:r>
              <w:rPr>
                <w:rFonts w:ascii="Arial" w:hAnsi="Arial" w:cs="Arial"/>
              </w:rPr>
              <w:t>PCOM</w:t>
            </w:r>
          </w:p>
        </w:tc>
        <w:tc>
          <w:tcPr>
            <w:tcW w:w="1011" w:type="dxa"/>
          </w:tcPr>
          <w:p w14:paraId="22A31EE6" w14:textId="77777777" w:rsidR="0047023B" w:rsidRDefault="0047023B" w:rsidP="00146C1B">
            <w:pPr>
              <w:jc w:val="center"/>
              <w:rPr>
                <w:rFonts w:ascii="Arial" w:hAnsi="Arial" w:cs="Arial"/>
              </w:rPr>
            </w:pPr>
            <w:r>
              <w:rPr>
                <w:rFonts w:ascii="Arial" w:hAnsi="Arial" w:cs="Arial"/>
              </w:rPr>
              <w:t>IV, III</w:t>
            </w:r>
          </w:p>
        </w:tc>
        <w:tc>
          <w:tcPr>
            <w:tcW w:w="1207" w:type="dxa"/>
          </w:tcPr>
          <w:p w14:paraId="66E51347" w14:textId="77777777" w:rsidR="0047023B" w:rsidRDefault="0047023B" w:rsidP="00146C1B">
            <w:pPr>
              <w:jc w:val="center"/>
              <w:rPr>
                <w:rFonts w:ascii="Arial" w:hAnsi="Arial" w:cs="Arial"/>
              </w:rPr>
            </w:pPr>
            <w:r>
              <w:rPr>
                <w:rFonts w:ascii="Arial" w:hAnsi="Arial" w:cs="Arial"/>
              </w:rPr>
              <w:t>8</w:t>
            </w:r>
          </w:p>
        </w:tc>
        <w:tc>
          <w:tcPr>
            <w:tcW w:w="1415" w:type="dxa"/>
          </w:tcPr>
          <w:p w14:paraId="7D216DB2" w14:textId="77777777" w:rsidR="0047023B" w:rsidRDefault="0047023B" w:rsidP="00146C1B">
            <w:pPr>
              <w:jc w:val="center"/>
              <w:rPr>
                <w:rFonts w:ascii="Arial" w:hAnsi="Arial" w:cs="Arial"/>
              </w:rPr>
            </w:pPr>
            <w:r>
              <w:rPr>
                <w:rFonts w:ascii="Arial" w:hAnsi="Arial" w:cs="Arial"/>
              </w:rPr>
              <w:t>10</w:t>
            </w:r>
          </w:p>
        </w:tc>
        <w:tc>
          <w:tcPr>
            <w:tcW w:w="1641" w:type="dxa"/>
          </w:tcPr>
          <w:p w14:paraId="067A3CE1" w14:textId="77777777" w:rsidR="0047023B" w:rsidRDefault="0047023B" w:rsidP="00146C1B">
            <w:pPr>
              <w:jc w:val="center"/>
              <w:rPr>
                <w:rFonts w:ascii="Arial" w:hAnsi="Arial" w:cs="Arial"/>
              </w:rPr>
            </w:pPr>
            <w:r>
              <w:rPr>
                <w:rFonts w:ascii="Arial" w:hAnsi="Arial" w:cs="Arial"/>
              </w:rPr>
              <w:t>19</w:t>
            </w:r>
          </w:p>
        </w:tc>
        <w:tc>
          <w:tcPr>
            <w:tcW w:w="1902" w:type="dxa"/>
          </w:tcPr>
          <w:p w14:paraId="1A7E36EB" w14:textId="77777777" w:rsidR="0047023B" w:rsidRDefault="0047023B" w:rsidP="00146C1B">
            <w:pPr>
              <w:jc w:val="center"/>
              <w:rPr>
                <w:rFonts w:ascii="Arial" w:hAnsi="Arial" w:cs="Arial"/>
              </w:rPr>
            </w:pPr>
            <w:r>
              <w:rPr>
                <w:rFonts w:ascii="Arial" w:hAnsi="Arial" w:cs="Arial"/>
              </w:rPr>
              <w:t>11</w:t>
            </w:r>
          </w:p>
        </w:tc>
        <w:tc>
          <w:tcPr>
            <w:tcW w:w="1701" w:type="dxa"/>
          </w:tcPr>
          <w:p w14:paraId="770D8B2B" w14:textId="77777777" w:rsidR="0047023B" w:rsidRDefault="0047023B" w:rsidP="00146C1B">
            <w:pPr>
              <w:jc w:val="center"/>
              <w:rPr>
                <w:rFonts w:ascii="Arial" w:hAnsi="Arial" w:cs="Arial"/>
              </w:rPr>
            </w:pPr>
            <w:r>
              <w:rPr>
                <w:rFonts w:ascii="Arial" w:hAnsi="Arial" w:cs="Arial"/>
              </w:rPr>
              <w:t>11</w:t>
            </w:r>
          </w:p>
        </w:tc>
        <w:tc>
          <w:tcPr>
            <w:tcW w:w="1701" w:type="dxa"/>
          </w:tcPr>
          <w:p w14:paraId="5DA0DA7E" w14:textId="77777777" w:rsidR="0047023B" w:rsidRDefault="0047023B" w:rsidP="00146C1B">
            <w:pPr>
              <w:jc w:val="center"/>
              <w:rPr>
                <w:rFonts w:ascii="Arial" w:hAnsi="Arial" w:cs="Arial"/>
              </w:rPr>
            </w:pPr>
            <w:r>
              <w:rPr>
                <w:rFonts w:ascii="Arial" w:hAnsi="Arial" w:cs="Arial"/>
              </w:rPr>
              <w:t>15</w:t>
            </w:r>
          </w:p>
        </w:tc>
      </w:tr>
      <w:tr w:rsidR="0047023B" w14:paraId="385CDBB7" w14:textId="77777777" w:rsidTr="00146C1B">
        <w:tc>
          <w:tcPr>
            <w:tcW w:w="983" w:type="dxa"/>
            <w:tcBorders>
              <w:bottom w:val="single" w:sz="4" w:space="0" w:color="auto"/>
            </w:tcBorders>
          </w:tcPr>
          <w:p w14:paraId="197605FF" w14:textId="77777777" w:rsidR="0047023B" w:rsidRDefault="0047023B" w:rsidP="00146C1B">
            <w:pPr>
              <w:jc w:val="center"/>
              <w:rPr>
                <w:rFonts w:ascii="Arial" w:hAnsi="Arial" w:cs="Arial"/>
              </w:rPr>
            </w:pPr>
            <w:r>
              <w:rPr>
                <w:rFonts w:ascii="Arial" w:hAnsi="Arial" w:cs="Arial"/>
              </w:rPr>
              <w:t>SD</w:t>
            </w:r>
          </w:p>
        </w:tc>
        <w:tc>
          <w:tcPr>
            <w:tcW w:w="706" w:type="dxa"/>
            <w:tcBorders>
              <w:bottom w:val="single" w:sz="4" w:space="0" w:color="auto"/>
            </w:tcBorders>
          </w:tcPr>
          <w:p w14:paraId="5FD0D530" w14:textId="77777777" w:rsidR="0047023B" w:rsidRDefault="0047023B" w:rsidP="00146C1B">
            <w:pPr>
              <w:jc w:val="center"/>
              <w:rPr>
                <w:rFonts w:ascii="Arial" w:hAnsi="Arial" w:cs="Arial"/>
              </w:rPr>
            </w:pPr>
            <w:r>
              <w:rPr>
                <w:rFonts w:ascii="Arial" w:hAnsi="Arial" w:cs="Arial"/>
              </w:rPr>
              <w:t>73F</w:t>
            </w:r>
          </w:p>
        </w:tc>
        <w:tc>
          <w:tcPr>
            <w:tcW w:w="2051" w:type="dxa"/>
            <w:tcBorders>
              <w:bottom w:val="single" w:sz="4" w:space="0" w:color="auto"/>
            </w:tcBorders>
          </w:tcPr>
          <w:p w14:paraId="698F6C33" w14:textId="77777777" w:rsidR="0047023B" w:rsidRDefault="0047023B" w:rsidP="00146C1B">
            <w:pPr>
              <w:rPr>
                <w:rFonts w:ascii="Arial" w:hAnsi="Arial" w:cs="Arial"/>
              </w:rPr>
            </w:pPr>
            <w:r>
              <w:rPr>
                <w:rFonts w:ascii="Arial" w:hAnsi="Arial" w:cs="Arial"/>
              </w:rPr>
              <w:t>Terminal ICA</w:t>
            </w:r>
          </w:p>
        </w:tc>
        <w:tc>
          <w:tcPr>
            <w:tcW w:w="1011" w:type="dxa"/>
            <w:tcBorders>
              <w:bottom w:val="single" w:sz="4" w:space="0" w:color="auto"/>
            </w:tcBorders>
          </w:tcPr>
          <w:p w14:paraId="3E36D198" w14:textId="77777777" w:rsidR="0047023B" w:rsidRDefault="0047023B" w:rsidP="00146C1B">
            <w:pPr>
              <w:jc w:val="center"/>
              <w:rPr>
                <w:rFonts w:ascii="Arial" w:hAnsi="Arial" w:cs="Arial"/>
              </w:rPr>
            </w:pPr>
            <w:r>
              <w:rPr>
                <w:rFonts w:ascii="Arial" w:hAnsi="Arial" w:cs="Arial"/>
              </w:rPr>
              <w:t>V, IV</w:t>
            </w:r>
          </w:p>
        </w:tc>
        <w:tc>
          <w:tcPr>
            <w:tcW w:w="1207" w:type="dxa"/>
            <w:tcBorders>
              <w:bottom w:val="single" w:sz="4" w:space="0" w:color="auto"/>
            </w:tcBorders>
          </w:tcPr>
          <w:p w14:paraId="581391BA" w14:textId="77777777" w:rsidR="0047023B" w:rsidRDefault="0047023B" w:rsidP="00146C1B">
            <w:pPr>
              <w:jc w:val="center"/>
              <w:rPr>
                <w:rFonts w:ascii="Arial" w:hAnsi="Arial" w:cs="Arial"/>
              </w:rPr>
            </w:pPr>
            <w:r>
              <w:rPr>
                <w:rFonts w:ascii="Arial" w:hAnsi="Arial" w:cs="Arial"/>
              </w:rPr>
              <w:t>5</w:t>
            </w:r>
          </w:p>
        </w:tc>
        <w:tc>
          <w:tcPr>
            <w:tcW w:w="1415" w:type="dxa"/>
            <w:tcBorders>
              <w:bottom w:val="single" w:sz="4" w:space="0" w:color="auto"/>
            </w:tcBorders>
          </w:tcPr>
          <w:p w14:paraId="01CA80CA" w14:textId="77777777" w:rsidR="0047023B" w:rsidRDefault="0047023B" w:rsidP="00146C1B">
            <w:pPr>
              <w:jc w:val="center"/>
              <w:rPr>
                <w:rFonts w:ascii="Arial" w:hAnsi="Arial" w:cs="Arial"/>
              </w:rPr>
            </w:pPr>
            <w:r>
              <w:rPr>
                <w:rFonts w:ascii="Arial" w:hAnsi="Arial" w:cs="Arial"/>
              </w:rPr>
              <w:t>13</w:t>
            </w:r>
          </w:p>
        </w:tc>
        <w:tc>
          <w:tcPr>
            <w:tcW w:w="1641" w:type="dxa"/>
            <w:tcBorders>
              <w:bottom w:val="single" w:sz="4" w:space="0" w:color="auto"/>
            </w:tcBorders>
          </w:tcPr>
          <w:p w14:paraId="50BB6E4B" w14:textId="77777777" w:rsidR="0047023B" w:rsidRDefault="0047023B" w:rsidP="00146C1B">
            <w:pPr>
              <w:jc w:val="center"/>
              <w:rPr>
                <w:rFonts w:ascii="Arial" w:hAnsi="Arial" w:cs="Arial"/>
              </w:rPr>
            </w:pPr>
            <w:r>
              <w:rPr>
                <w:rFonts w:ascii="Arial" w:hAnsi="Arial" w:cs="Arial"/>
              </w:rPr>
              <w:t>23</w:t>
            </w:r>
          </w:p>
        </w:tc>
        <w:tc>
          <w:tcPr>
            <w:tcW w:w="1902" w:type="dxa"/>
            <w:tcBorders>
              <w:bottom w:val="single" w:sz="4" w:space="0" w:color="auto"/>
            </w:tcBorders>
          </w:tcPr>
          <w:p w14:paraId="418313D5" w14:textId="77777777" w:rsidR="0047023B" w:rsidRDefault="0047023B" w:rsidP="00146C1B">
            <w:pPr>
              <w:jc w:val="center"/>
              <w:rPr>
                <w:rFonts w:ascii="Arial" w:hAnsi="Arial" w:cs="Arial"/>
              </w:rPr>
            </w:pPr>
            <w:r>
              <w:rPr>
                <w:rFonts w:ascii="Arial" w:hAnsi="Arial" w:cs="Arial"/>
              </w:rPr>
              <w:t>14</w:t>
            </w:r>
          </w:p>
        </w:tc>
        <w:tc>
          <w:tcPr>
            <w:tcW w:w="1701" w:type="dxa"/>
            <w:tcBorders>
              <w:bottom w:val="single" w:sz="4" w:space="0" w:color="auto"/>
            </w:tcBorders>
          </w:tcPr>
          <w:p w14:paraId="5C9CA207" w14:textId="77777777" w:rsidR="0047023B" w:rsidRDefault="0047023B" w:rsidP="00146C1B">
            <w:pPr>
              <w:jc w:val="center"/>
              <w:rPr>
                <w:rFonts w:ascii="Arial" w:hAnsi="Arial" w:cs="Arial"/>
              </w:rPr>
            </w:pPr>
            <w:r>
              <w:rPr>
                <w:rFonts w:ascii="Arial" w:hAnsi="Arial" w:cs="Arial"/>
              </w:rPr>
              <w:t>N/A</w:t>
            </w:r>
          </w:p>
        </w:tc>
        <w:tc>
          <w:tcPr>
            <w:tcW w:w="1701" w:type="dxa"/>
            <w:tcBorders>
              <w:bottom w:val="single" w:sz="4" w:space="0" w:color="auto"/>
            </w:tcBorders>
          </w:tcPr>
          <w:p w14:paraId="0000C39C" w14:textId="77777777" w:rsidR="0047023B" w:rsidRDefault="0047023B" w:rsidP="00146C1B">
            <w:pPr>
              <w:jc w:val="center"/>
              <w:rPr>
                <w:rFonts w:ascii="Arial" w:hAnsi="Arial" w:cs="Arial"/>
              </w:rPr>
            </w:pPr>
            <w:r>
              <w:rPr>
                <w:rFonts w:ascii="Arial" w:hAnsi="Arial" w:cs="Arial"/>
              </w:rPr>
              <w:t>N/A</w:t>
            </w:r>
          </w:p>
        </w:tc>
      </w:tr>
    </w:tbl>
    <w:p w14:paraId="5D65BD1E" w14:textId="181284E7" w:rsidR="0047023B" w:rsidRDefault="0047023B" w:rsidP="0047023B">
      <w:pPr>
        <w:rPr>
          <w:rFonts w:ascii="Arial" w:hAnsi="Arial" w:cs="Arial"/>
        </w:rPr>
      </w:pPr>
      <w:r w:rsidRPr="00A601AE">
        <w:rPr>
          <w:rFonts w:ascii="Arial" w:hAnsi="Arial" w:cs="Arial"/>
          <w:b/>
        </w:rPr>
        <w:t>Table 1</w:t>
      </w:r>
      <w:r w:rsidR="0089199B" w:rsidRPr="00A601AE">
        <w:rPr>
          <w:rFonts w:ascii="Arial" w:hAnsi="Arial" w:cs="Arial"/>
          <w:b/>
        </w:rPr>
        <w:t>.1</w:t>
      </w:r>
      <w:r>
        <w:rPr>
          <w:rFonts w:ascii="Arial" w:hAnsi="Arial" w:cs="Arial"/>
        </w:rPr>
        <w:t xml:space="preserve">. </w:t>
      </w:r>
      <w:proofErr w:type="gramStart"/>
      <w:r>
        <w:rPr>
          <w:rFonts w:ascii="Arial" w:hAnsi="Arial" w:cs="Arial"/>
        </w:rPr>
        <w:t>Summary of data from case series.</w:t>
      </w:r>
      <w:proofErr w:type="gramEnd"/>
      <w:r>
        <w:rPr>
          <w:rFonts w:ascii="Arial" w:hAnsi="Arial" w:cs="Arial"/>
        </w:rPr>
        <w:t xml:space="preserve"> *: </w:t>
      </w:r>
      <w:proofErr w:type="gramStart"/>
      <w:r>
        <w:rPr>
          <w:rFonts w:ascii="Arial" w:hAnsi="Arial" w:cs="Arial"/>
        </w:rPr>
        <w:t>patients</w:t>
      </w:r>
      <w:proofErr w:type="gramEnd"/>
      <w:r>
        <w:rPr>
          <w:rFonts w:ascii="Arial" w:hAnsi="Arial" w:cs="Arial"/>
        </w:rPr>
        <w:t xml:space="preserve"> whom we considered had an apparently beneficial neurocognitive response to amantadine.</w:t>
      </w:r>
    </w:p>
    <w:p w14:paraId="414237C3" w14:textId="77777777" w:rsidR="00C32F6D" w:rsidRDefault="00C32F6D" w:rsidP="004C0DA6">
      <w:pPr>
        <w:spacing w:after="120" w:line="280" w:lineRule="atLeast"/>
        <w:rPr>
          <w:rFonts w:ascii="Arial" w:hAnsi="Arial" w:cs="Arial"/>
        </w:rPr>
        <w:sectPr w:rsidR="00C32F6D" w:rsidSect="0047023B">
          <w:pgSz w:w="16840" w:h="11900" w:orient="landscape"/>
          <w:pgMar w:top="1800" w:right="1440" w:bottom="1800" w:left="1440" w:header="708" w:footer="708" w:gutter="0"/>
          <w:cols w:space="708"/>
          <w:docGrid w:linePitch="360"/>
        </w:sectPr>
      </w:pPr>
    </w:p>
    <w:p w14:paraId="1032F689" w14:textId="360FD2B0" w:rsidR="00C32F6D" w:rsidRPr="00835907" w:rsidRDefault="00C32F6D" w:rsidP="00C32F6D">
      <w:pPr>
        <w:rPr>
          <w:rFonts w:ascii="Arial" w:hAnsi="Arial" w:cs="Arial"/>
        </w:rPr>
      </w:pPr>
      <w:r w:rsidRPr="00A601AE">
        <w:rPr>
          <w:rFonts w:ascii="Arial" w:hAnsi="Arial" w:cs="Arial"/>
          <w:b/>
        </w:rPr>
        <w:t>Figure 1</w:t>
      </w:r>
      <w:r w:rsidR="0089199B" w:rsidRPr="00A601AE">
        <w:rPr>
          <w:rFonts w:ascii="Arial" w:hAnsi="Arial" w:cs="Arial"/>
          <w:b/>
        </w:rPr>
        <w:t>.1</w:t>
      </w:r>
      <w:r w:rsidR="0089199B">
        <w:rPr>
          <w:rFonts w:ascii="Arial" w:hAnsi="Arial" w:cs="Arial"/>
        </w:rPr>
        <w:t xml:space="preserve"> </w:t>
      </w:r>
      <w:r>
        <w:rPr>
          <w:rFonts w:ascii="Arial" w:hAnsi="Arial" w:cs="Arial"/>
        </w:rPr>
        <w:t>PRISMA flow-chart for search strategy.</w:t>
      </w:r>
    </w:p>
    <w:p w14:paraId="0E289294" w14:textId="77777777" w:rsidR="00C32F6D" w:rsidRPr="00835907" w:rsidRDefault="00C32F6D" w:rsidP="00C32F6D">
      <w:pPr>
        <w:rPr>
          <w:rFonts w:ascii="Arial" w:hAnsi="Arial" w:cs="Arial"/>
        </w:rPr>
      </w:pPr>
      <w:r w:rsidRPr="00835907">
        <w:rPr>
          <w:rFonts w:ascii="Arial" w:hAnsi="Arial" w:cs="Arial"/>
          <w:noProof/>
          <w:lang w:val="en-US"/>
        </w:rPr>
        <w:drawing>
          <wp:inline distT="0" distB="0" distL="0" distR="0" wp14:anchorId="275E9212" wp14:editId="72168FC8">
            <wp:extent cx="5731510" cy="3577590"/>
            <wp:effectExtent l="0" t="0" r="2540" b="3810"/>
            <wp:docPr id="1207656344" name="Picture 1" descr="A flowchart of rec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656344" name="Picture 1" descr="A flowchart of records&#10;&#10;Description automatically generated"/>
                    <pic:cNvPicPr/>
                  </pic:nvPicPr>
                  <pic:blipFill>
                    <a:blip r:embed="rId5"/>
                    <a:stretch>
                      <a:fillRect/>
                    </a:stretch>
                  </pic:blipFill>
                  <pic:spPr>
                    <a:xfrm>
                      <a:off x="0" y="0"/>
                      <a:ext cx="5731510" cy="3577590"/>
                    </a:xfrm>
                    <a:prstGeom prst="rect">
                      <a:avLst/>
                    </a:prstGeom>
                  </pic:spPr>
                </pic:pic>
              </a:graphicData>
            </a:graphic>
          </wp:inline>
        </w:drawing>
      </w:r>
    </w:p>
    <w:p w14:paraId="458C0312" w14:textId="77777777" w:rsidR="00C32F6D" w:rsidRDefault="00C32F6D" w:rsidP="00C32F6D">
      <w:pPr>
        <w:rPr>
          <w:rFonts w:ascii="Arial" w:hAnsi="Arial" w:cs="Arial"/>
          <w:b/>
          <w:bCs/>
        </w:rPr>
      </w:pPr>
    </w:p>
    <w:p w14:paraId="16151FF2" w14:textId="2B1B86F2" w:rsidR="001354BA" w:rsidRDefault="001354BA">
      <w:pPr>
        <w:rPr>
          <w:rFonts w:ascii="Arial" w:hAnsi="Arial" w:cs="Arial"/>
        </w:rPr>
      </w:pPr>
      <w:r>
        <w:rPr>
          <w:rFonts w:ascii="Arial" w:hAnsi="Arial" w:cs="Arial"/>
        </w:rPr>
        <w:br w:type="page"/>
      </w:r>
    </w:p>
    <w:p w14:paraId="67FAF987" w14:textId="158603D6" w:rsidR="0089199B" w:rsidRPr="0089199B" w:rsidRDefault="0089199B" w:rsidP="001354BA">
      <w:pPr>
        <w:pStyle w:val="EndNoteBibliography"/>
        <w:spacing w:after="0"/>
        <w:rPr>
          <w:rFonts w:ascii="Arial" w:hAnsi="Arial" w:cs="Arial"/>
          <w:u w:val="single"/>
        </w:rPr>
      </w:pPr>
      <w:r w:rsidRPr="0089199B">
        <w:rPr>
          <w:rFonts w:ascii="Arial" w:hAnsi="Arial" w:cs="Arial"/>
          <w:u w:val="single"/>
        </w:rPr>
        <w:t>References</w:t>
      </w:r>
    </w:p>
    <w:p w14:paraId="224393B3" w14:textId="77777777" w:rsidR="0089199B" w:rsidRDefault="0089199B" w:rsidP="001354BA">
      <w:pPr>
        <w:pStyle w:val="EndNoteBibliography"/>
        <w:spacing w:after="0"/>
        <w:rPr>
          <w:rFonts w:ascii="Arial" w:hAnsi="Arial" w:cs="Arial"/>
        </w:rPr>
      </w:pPr>
    </w:p>
    <w:p w14:paraId="1462424E" w14:textId="77777777" w:rsidR="001354BA" w:rsidRPr="007A3BA0" w:rsidRDefault="001354BA" w:rsidP="001354BA">
      <w:pPr>
        <w:pStyle w:val="EndNoteBibliography"/>
        <w:spacing w:after="0"/>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r w:rsidRPr="007A3BA0">
        <w:t>1.</w:t>
      </w:r>
      <w:r w:rsidRPr="007A3BA0">
        <w:tab/>
        <w:t>Akçıl EF, Dilmen Ö K, Vehid H, Tunalı Y. Can Amantadine Ameliorate Neurocognitive Functions After Subarachnoid Haemorrhage? A Preliminary Study. Turk J Anaesthesiol Reanim. 2018;46(2):100-7.</w:t>
      </w:r>
    </w:p>
    <w:p w14:paraId="18966156" w14:textId="77777777" w:rsidR="001354BA" w:rsidRPr="007A3BA0" w:rsidRDefault="001354BA" w:rsidP="001354BA">
      <w:pPr>
        <w:pStyle w:val="EndNoteBibliography"/>
      </w:pPr>
      <w:r w:rsidRPr="007A3BA0">
        <w:t>2.</w:t>
      </w:r>
      <w:r w:rsidRPr="007A3BA0">
        <w:tab/>
        <w:t>Avecillas-Chasin JM, Barcia JA. Effect of amantadine in minimally conscious state of non-traumatic etiology. Acta Neurochirurgica. 2014;156(7):1375</w:t>
      </w:r>
    </w:p>
    <w:p w14:paraId="5C20E028" w14:textId="77777777" w:rsidR="001354BA" w:rsidRPr="007A3BA0" w:rsidRDefault="001354BA" w:rsidP="001354BA">
      <w:pPr>
        <w:pStyle w:val="EndNoteBibliography"/>
        <w:spacing w:after="0"/>
      </w:pPr>
      <w:r w:rsidRPr="007A3BA0">
        <w:t xml:space="preserve"> EP - 7.</w:t>
      </w:r>
    </w:p>
    <w:p w14:paraId="7444360B" w14:textId="77777777" w:rsidR="001354BA" w:rsidRPr="007A3BA0" w:rsidRDefault="001354BA" w:rsidP="001354BA">
      <w:pPr>
        <w:pStyle w:val="EndNoteBibliography"/>
        <w:spacing w:after="0"/>
      </w:pPr>
      <w:r w:rsidRPr="007A3BA0">
        <w:t>3.</w:t>
      </w:r>
      <w:r w:rsidRPr="007A3BA0">
        <w:tab/>
        <w:t>Gatto LAM, Demartini Z, Jr., Telles JPM, Figueiredo EG. Does amantadine improve cognitive recovery in severe disorders of consciousness after aneurysmal subarachnoid hemorrhage? A double-blind placebo-controlled study. Clin Neurol Neurosurg. 2024;237:108135.</w:t>
      </w:r>
    </w:p>
    <w:p w14:paraId="77DA4A31" w14:textId="77777777" w:rsidR="001354BA" w:rsidRPr="007A3BA0" w:rsidRDefault="001354BA" w:rsidP="001354BA">
      <w:pPr>
        <w:pStyle w:val="EndNoteBibliography"/>
        <w:spacing w:after="0"/>
      </w:pPr>
      <w:r w:rsidRPr="007A3BA0">
        <w:t>4.</w:t>
      </w:r>
      <w:r w:rsidRPr="007A3BA0">
        <w:tab/>
        <w:t>Lehnerer SM, Scheibe F, Buchert R, Kliesch S, Meisel A. Awakening with amantadine from a persistent vegetative state after subarachnoid haemorrhage. BMJ Case Rep. 2017;2017.</w:t>
      </w:r>
    </w:p>
    <w:p w14:paraId="0C5D1FEE" w14:textId="77777777" w:rsidR="001354BA" w:rsidRPr="007A3BA0" w:rsidRDefault="001354BA" w:rsidP="001354BA">
      <w:pPr>
        <w:pStyle w:val="EndNoteBibliography"/>
      </w:pPr>
      <w:r w:rsidRPr="007A3BA0">
        <w:t>5.</w:t>
      </w:r>
      <w:r w:rsidRPr="007A3BA0">
        <w:tab/>
        <w:t>Rühl L, Kuramatsu JB, Sembill JA, Kallmünzer B, Madzar D, Gerner ST, et al. Amantadine treatment is associated with improved consciousness in patients with non-traumatic brain injury. J Neurol Neurosurg Psychiatry. 2022;93(6):582-7.</w:t>
      </w:r>
    </w:p>
    <w:p w14:paraId="5A14B187" w14:textId="6B9EB71D" w:rsidR="00876B24" w:rsidRPr="004C0DA6" w:rsidRDefault="001354BA" w:rsidP="001354BA">
      <w:pPr>
        <w:spacing w:after="120" w:line="280" w:lineRule="atLeast"/>
        <w:rPr>
          <w:rFonts w:ascii="Arial" w:hAnsi="Arial" w:cs="Arial"/>
        </w:rPr>
      </w:pPr>
      <w:r>
        <w:rPr>
          <w:rFonts w:ascii="Arial" w:hAnsi="Arial" w:cs="Arial"/>
        </w:rPr>
        <w:fldChar w:fldCharType="end"/>
      </w:r>
    </w:p>
    <w:p w14:paraId="1A7B738D" w14:textId="77777777" w:rsidR="007F5514" w:rsidRDefault="007F5514"/>
    <w:sectPr w:rsidR="007F5514" w:rsidSect="00C32F6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ptos">
    <w:altName w:val="Arial"/>
    <w:charset w:val="00"/>
    <w:family w:val="swiss"/>
    <w:pitch w:val="variable"/>
    <w:sig w:usb0="20000287" w:usb1="00000003"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2E"/>
    <w:rsid w:val="000F1E7B"/>
    <w:rsid w:val="001354BA"/>
    <w:rsid w:val="00146C1B"/>
    <w:rsid w:val="00190FA8"/>
    <w:rsid w:val="002D4AEF"/>
    <w:rsid w:val="003162DF"/>
    <w:rsid w:val="00394896"/>
    <w:rsid w:val="003E7B6B"/>
    <w:rsid w:val="004576B8"/>
    <w:rsid w:val="0047023B"/>
    <w:rsid w:val="004C0DA6"/>
    <w:rsid w:val="006E3C7C"/>
    <w:rsid w:val="006F5F71"/>
    <w:rsid w:val="00727E5B"/>
    <w:rsid w:val="007A2980"/>
    <w:rsid w:val="007F5514"/>
    <w:rsid w:val="0081009A"/>
    <w:rsid w:val="00861549"/>
    <w:rsid w:val="00876B24"/>
    <w:rsid w:val="0089199B"/>
    <w:rsid w:val="009750E0"/>
    <w:rsid w:val="009C4515"/>
    <w:rsid w:val="00A601AE"/>
    <w:rsid w:val="00B11FB3"/>
    <w:rsid w:val="00B6621D"/>
    <w:rsid w:val="00BD584A"/>
    <w:rsid w:val="00C32F6D"/>
    <w:rsid w:val="00C9262E"/>
    <w:rsid w:val="00D60528"/>
    <w:rsid w:val="00D90647"/>
    <w:rsid w:val="00DA2185"/>
    <w:rsid w:val="00DB7B4B"/>
    <w:rsid w:val="00F54CE2"/>
    <w:rsid w:val="00F8452D"/>
    <w:rsid w:val="00FE6AA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3758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4515"/>
    <w:rPr>
      <w:rFonts w:eastAsia="Apto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9750E0"/>
    <w:rPr>
      <w:rFonts w:eastAsia="Apto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2F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2F6D"/>
    <w:rPr>
      <w:rFonts w:ascii="Lucida Grande" w:hAnsi="Lucida Grande" w:cs="Lucida Grande"/>
      <w:sz w:val="18"/>
      <w:szCs w:val="18"/>
    </w:rPr>
  </w:style>
  <w:style w:type="paragraph" w:customStyle="1" w:styleId="EndNoteBibliography">
    <w:name w:val="EndNote Bibliography"/>
    <w:basedOn w:val="Normal"/>
    <w:link w:val="EndNoteBibliographyChar"/>
    <w:rsid w:val="001354BA"/>
    <w:pPr>
      <w:spacing w:after="160"/>
    </w:pPr>
    <w:rPr>
      <w:rFonts w:ascii="Aptos" w:eastAsiaTheme="minorHAnsi" w:hAnsi="Aptos"/>
      <w:noProof/>
      <w:kern w:val="2"/>
      <w:lang w:val="en-US"/>
      <w14:ligatures w14:val="standardContextual"/>
    </w:rPr>
  </w:style>
  <w:style w:type="character" w:customStyle="1" w:styleId="EndNoteBibliographyChar">
    <w:name w:val="EndNote Bibliography Char"/>
    <w:basedOn w:val="DefaultParagraphFont"/>
    <w:link w:val="EndNoteBibliography"/>
    <w:rsid w:val="001354BA"/>
    <w:rPr>
      <w:rFonts w:ascii="Aptos" w:eastAsiaTheme="minorHAnsi" w:hAnsi="Aptos"/>
      <w:noProof/>
      <w:kern w:val="2"/>
      <w:lang w:val="en-US"/>
      <w14:ligatures w14:val="standardContextu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4515"/>
    <w:rPr>
      <w:rFonts w:eastAsia="Apto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9750E0"/>
    <w:rPr>
      <w:rFonts w:eastAsia="Apto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2F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2F6D"/>
    <w:rPr>
      <w:rFonts w:ascii="Lucida Grande" w:hAnsi="Lucida Grande" w:cs="Lucida Grande"/>
      <w:sz w:val="18"/>
      <w:szCs w:val="18"/>
    </w:rPr>
  </w:style>
  <w:style w:type="paragraph" w:customStyle="1" w:styleId="EndNoteBibliography">
    <w:name w:val="EndNote Bibliography"/>
    <w:basedOn w:val="Normal"/>
    <w:link w:val="EndNoteBibliographyChar"/>
    <w:rsid w:val="001354BA"/>
    <w:pPr>
      <w:spacing w:after="160"/>
    </w:pPr>
    <w:rPr>
      <w:rFonts w:ascii="Aptos" w:eastAsiaTheme="minorHAnsi" w:hAnsi="Aptos"/>
      <w:noProof/>
      <w:kern w:val="2"/>
      <w:lang w:val="en-US"/>
      <w14:ligatures w14:val="standardContextual"/>
    </w:rPr>
  </w:style>
  <w:style w:type="character" w:customStyle="1" w:styleId="EndNoteBibliographyChar">
    <w:name w:val="EndNote Bibliography Char"/>
    <w:basedOn w:val="DefaultParagraphFont"/>
    <w:link w:val="EndNoteBibliography"/>
    <w:rsid w:val="001354BA"/>
    <w:rPr>
      <w:rFonts w:ascii="Aptos" w:eastAsiaTheme="minorHAnsi" w:hAnsi="Aptos"/>
      <w:noProof/>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5</Pages>
  <Words>605</Words>
  <Characters>3449</Characters>
  <Application>Microsoft Macintosh Word</Application>
  <DocSecurity>0</DocSecurity>
  <Lines>28</Lines>
  <Paragraphs>8</Paragraphs>
  <ScaleCrop>false</ScaleCrop>
  <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Raftesath</dc:creator>
  <cp:keywords/>
  <dc:description/>
  <cp:lastModifiedBy>Jane Raftesath</cp:lastModifiedBy>
  <cp:revision>17</cp:revision>
  <dcterms:created xsi:type="dcterms:W3CDTF">2025-01-17T03:12:00Z</dcterms:created>
  <dcterms:modified xsi:type="dcterms:W3CDTF">2025-01-17T09:12:00Z</dcterms:modified>
</cp:coreProperties>
</file>