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567"/>
        </w:tabs>
        <w:spacing w:after="120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 xml:space="preserve">Analysing Missense SNPs in </w:t>
      </w:r>
      <w:r>
        <w:rPr>
          <w:rFonts w:ascii="Arial" w:hAnsi="Arial" w:cs="Arial"/>
          <w:b/>
          <w:bCs/>
          <w:i/>
          <w:smallCaps/>
        </w:rPr>
        <w:t>PRKN</w:t>
      </w:r>
      <w:r>
        <w:rPr>
          <w:rFonts w:ascii="Arial" w:hAnsi="Arial" w:cs="Arial"/>
          <w:b/>
          <w:bCs/>
          <w:smallCaps/>
        </w:rPr>
        <w:t xml:space="preserve"> as Genetic Modifiers of Machado–Joseph Disease</w:t>
      </w:r>
    </w:p>
    <w:p>
      <w:pPr>
        <w:tabs>
          <w:tab w:val="left" w:pos="567"/>
        </w:tabs>
        <w:spacing w:after="12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J.</w:t>
      </w:r>
      <w:r>
        <w:rPr>
          <w:rFonts w:ascii="Arial" w:eastAsia="Times New Roman" w:hAnsi="Arial" w:cs="Arial"/>
          <w:b/>
        </w:rPr>
        <w:t xml:space="preserve"> J. Weber</w:t>
      </w:r>
      <w:r>
        <w:rPr>
          <w:rFonts w:ascii="Arial" w:eastAsia="Times New Roman" w:hAnsi="Arial" w:cs="Arial"/>
          <w:b/>
          <w:vertAlign w:val="superscript"/>
        </w:rPr>
        <w:t>1,2,*</w:t>
      </w:r>
      <w:r>
        <w:rPr>
          <w:rFonts w:ascii="Arial" w:eastAsia="Times New Roman" w:hAnsi="Arial" w:cs="Arial"/>
          <w:b/>
        </w:rPr>
        <w:t>, L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Czisch</w:t>
      </w:r>
      <w:r>
        <w:rPr>
          <w:rFonts w:ascii="Arial" w:eastAsia="Times New Roman" w:hAnsi="Arial" w:cs="Arial"/>
          <w:b/>
          <w:vertAlign w:val="superscript"/>
        </w:rPr>
        <w:t>1,*</w:t>
      </w:r>
      <w:r>
        <w:rPr>
          <w:rFonts w:ascii="Arial" w:eastAsia="Times New Roman" w:hAnsi="Arial" w:cs="Arial"/>
          <w:b/>
        </w:rPr>
        <w:t>, P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Pereira Sena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F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Fath</w:t>
      </w:r>
      <w:r>
        <w:rPr>
          <w:rFonts w:ascii="Arial" w:eastAsia="Times New Roman" w:hAnsi="Arial" w:cs="Arial"/>
          <w:b/>
          <w:vertAlign w:val="superscript"/>
        </w:rPr>
        <w:t>1,2</w:t>
      </w:r>
      <w:r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  <w:b/>
          <w:vertAlign w:val="superscript"/>
        </w:rPr>
        <w:t xml:space="preserve"> </w:t>
      </w:r>
      <w:r>
        <w:rPr>
          <w:rFonts w:ascii="Arial" w:eastAsia="Times New Roman" w:hAnsi="Arial" w:cs="Arial"/>
          <w:b/>
        </w:rPr>
        <w:t>C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Huridou</w:t>
      </w:r>
      <w:r>
        <w:rPr>
          <w:rFonts w:ascii="Arial" w:eastAsia="Times New Roman" w:hAnsi="Arial" w:cs="Arial"/>
          <w:b/>
          <w:vertAlign w:val="superscript"/>
        </w:rPr>
        <w:t>1,2</w:t>
      </w:r>
      <w:r>
        <w:rPr>
          <w:rFonts w:ascii="Arial" w:eastAsia="Times New Roman" w:hAnsi="Arial" w:cs="Arial"/>
          <w:b/>
        </w:rPr>
        <w:t>, N</w:t>
      </w:r>
      <w:r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>Schwarz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R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D. Incebacak Eltemur</w:t>
      </w:r>
      <w:r>
        <w:rPr>
          <w:rFonts w:ascii="Arial" w:eastAsia="Times New Roman" w:hAnsi="Arial" w:cs="Arial"/>
          <w:b/>
          <w:vertAlign w:val="superscript"/>
        </w:rPr>
        <w:t>1,2</w:t>
      </w:r>
      <w:r>
        <w:rPr>
          <w:rFonts w:ascii="Arial" w:eastAsia="Times New Roman" w:hAnsi="Arial" w:cs="Arial"/>
          <w:b/>
        </w:rPr>
        <w:t>, A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Würth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D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Weishäupl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M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Döcker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G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Blumenstock</w:t>
      </w:r>
      <w:r>
        <w:rPr>
          <w:rFonts w:ascii="Arial" w:eastAsia="Times New Roman" w:hAnsi="Arial" w:cs="Arial"/>
          <w:b/>
          <w:vertAlign w:val="superscript"/>
        </w:rPr>
        <w:t>3</w:t>
      </w:r>
      <w:r>
        <w:rPr>
          <w:rFonts w:ascii="Arial" w:eastAsia="Times New Roman" w:hAnsi="Arial" w:cs="Arial"/>
          <w:b/>
        </w:rPr>
        <w:t>, S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Martins</w:t>
      </w:r>
      <w:r>
        <w:rPr>
          <w:rFonts w:ascii="Arial" w:eastAsia="Times New Roman" w:hAnsi="Arial" w:cs="Arial"/>
          <w:b/>
          <w:vertAlign w:val="superscript"/>
        </w:rPr>
        <w:t>4,5</w:t>
      </w:r>
      <w:r>
        <w:rPr>
          <w:rFonts w:ascii="Arial" w:eastAsia="Times New Roman" w:hAnsi="Arial" w:cs="Arial"/>
          <w:b/>
        </w:rPr>
        <w:t>, J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Sequeiros</w:t>
      </w:r>
      <w:r>
        <w:rPr>
          <w:rFonts w:ascii="Arial" w:eastAsia="Times New Roman" w:hAnsi="Arial" w:cs="Arial"/>
          <w:b/>
          <w:vertAlign w:val="superscript"/>
        </w:rPr>
        <w:t>4,6</w:t>
      </w:r>
      <w:r>
        <w:rPr>
          <w:rFonts w:ascii="Arial" w:eastAsia="Times New Roman" w:hAnsi="Arial" w:cs="Arial"/>
          <w:b/>
        </w:rPr>
        <w:t>, G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A. Rouleau</w:t>
      </w:r>
      <w:r>
        <w:rPr>
          <w:rFonts w:ascii="Arial" w:eastAsia="Times New Roman" w:hAnsi="Arial" w:cs="Arial"/>
          <w:b/>
          <w:vertAlign w:val="superscript"/>
        </w:rPr>
        <w:t>7</w:t>
      </w:r>
      <w:r>
        <w:rPr>
          <w:rFonts w:ascii="Arial" w:eastAsia="Times New Roman" w:hAnsi="Arial" w:cs="Arial"/>
          <w:b/>
        </w:rPr>
        <w:t>, L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Bannach Jardim</w:t>
      </w:r>
      <w:r>
        <w:rPr>
          <w:rFonts w:ascii="Arial" w:eastAsia="Times New Roman" w:hAnsi="Arial" w:cs="Arial"/>
          <w:b/>
          <w:vertAlign w:val="superscript"/>
        </w:rPr>
        <w:t>8,9</w:t>
      </w:r>
      <w:r>
        <w:rPr>
          <w:rFonts w:ascii="Arial" w:eastAsia="Times New Roman" w:hAnsi="Arial" w:cs="Arial"/>
          <w:b/>
        </w:rPr>
        <w:t>, M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>-L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Saraiva-Pereira</w:t>
      </w:r>
      <w:r>
        <w:rPr>
          <w:rFonts w:ascii="Arial" w:eastAsia="Times New Roman" w:hAnsi="Arial" w:cs="Arial"/>
          <w:b/>
          <w:vertAlign w:val="superscript"/>
        </w:rPr>
        <w:t>9,10</w:t>
      </w:r>
      <w:r>
        <w:rPr>
          <w:rFonts w:ascii="Arial" w:eastAsia="Times New Roman" w:hAnsi="Arial" w:cs="Arial"/>
          <w:b/>
        </w:rPr>
        <w:t>, M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C. </w:t>
      </w:r>
      <w:proofErr w:type="spellStart"/>
      <w:r>
        <w:rPr>
          <w:rFonts w:ascii="Arial" w:eastAsia="Times New Roman" w:hAnsi="Arial" w:cs="Arial"/>
          <w:b/>
        </w:rPr>
        <w:t>França</w:t>
      </w:r>
      <w:proofErr w:type="spellEnd"/>
      <w:r>
        <w:rPr>
          <w:rFonts w:ascii="Arial" w:eastAsia="Times New Roman" w:hAnsi="Arial" w:cs="Arial"/>
          <w:b/>
        </w:rPr>
        <w:t xml:space="preserve"> Jr.</w:t>
      </w:r>
      <w:r>
        <w:rPr>
          <w:rFonts w:ascii="Arial" w:eastAsia="Times New Roman" w:hAnsi="Arial" w:cs="Arial"/>
          <w:b/>
          <w:vertAlign w:val="superscript"/>
        </w:rPr>
        <w:t>11</w:t>
      </w:r>
      <w:r>
        <w:rPr>
          <w:rFonts w:ascii="Arial" w:eastAsia="Times New Roman" w:hAnsi="Arial" w:cs="Arial"/>
          <w:b/>
        </w:rPr>
        <w:t>, C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R. Gordon</w:t>
      </w:r>
      <w:r>
        <w:rPr>
          <w:rFonts w:ascii="Arial" w:eastAsia="Times New Roman" w:hAnsi="Arial" w:cs="Arial"/>
          <w:b/>
          <w:vertAlign w:val="superscript"/>
        </w:rPr>
        <w:t>12</w:t>
      </w:r>
      <w:r>
        <w:rPr>
          <w:rFonts w:ascii="Arial" w:eastAsia="Times New Roman" w:hAnsi="Arial" w:cs="Arial"/>
          <w:b/>
        </w:rPr>
        <w:t>, R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Zaltzman</w:t>
      </w:r>
      <w:r>
        <w:rPr>
          <w:rFonts w:ascii="Arial" w:eastAsia="Times New Roman" w:hAnsi="Arial" w:cs="Arial"/>
          <w:b/>
          <w:vertAlign w:val="superscript"/>
        </w:rPr>
        <w:t>12</w:t>
      </w:r>
      <w:r>
        <w:rPr>
          <w:rFonts w:ascii="Arial" w:eastAsia="Times New Roman" w:hAnsi="Arial" w:cs="Arial"/>
          <w:b/>
        </w:rPr>
        <w:t>, M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R. Cornejo-Olivas</w:t>
      </w:r>
      <w:r>
        <w:rPr>
          <w:rFonts w:ascii="Arial" w:eastAsia="Times New Roman" w:hAnsi="Arial" w:cs="Arial"/>
          <w:b/>
          <w:vertAlign w:val="superscript"/>
        </w:rPr>
        <w:t>13</w:t>
      </w:r>
      <w:r>
        <w:rPr>
          <w:rFonts w:ascii="Arial" w:eastAsia="Times New Roman" w:hAnsi="Arial" w:cs="Arial"/>
          <w:b/>
        </w:rPr>
        <w:t>, B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P. C. van de Warrenburg</w:t>
      </w:r>
      <w:r>
        <w:rPr>
          <w:rFonts w:ascii="Arial" w:eastAsia="Times New Roman" w:hAnsi="Arial" w:cs="Arial"/>
          <w:b/>
          <w:vertAlign w:val="superscript"/>
        </w:rPr>
        <w:t>14</w:t>
      </w:r>
      <w:r>
        <w:rPr>
          <w:rFonts w:ascii="Arial" w:eastAsia="Times New Roman" w:hAnsi="Arial" w:cs="Arial"/>
          <w:b/>
        </w:rPr>
        <w:t>, A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Durr</w:t>
      </w:r>
      <w:r>
        <w:rPr>
          <w:rFonts w:ascii="Arial" w:eastAsia="Times New Roman" w:hAnsi="Arial" w:cs="Arial"/>
          <w:b/>
          <w:vertAlign w:val="superscript"/>
        </w:rPr>
        <w:t>15,16</w:t>
      </w:r>
      <w:r>
        <w:rPr>
          <w:rFonts w:ascii="Arial" w:eastAsia="Times New Roman" w:hAnsi="Arial" w:cs="Arial"/>
          <w:b/>
        </w:rPr>
        <w:t>, A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Brice</w:t>
      </w:r>
      <w:r>
        <w:rPr>
          <w:rFonts w:ascii="Arial" w:eastAsia="Times New Roman" w:hAnsi="Arial" w:cs="Arial"/>
          <w:b/>
          <w:vertAlign w:val="superscript"/>
        </w:rPr>
        <w:t>15,16</w:t>
      </w:r>
      <w:r>
        <w:rPr>
          <w:rFonts w:ascii="Arial" w:eastAsia="Times New Roman" w:hAnsi="Arial" w:cs="Arial"/>
          <w:b/>
        </w:rPr>
        <w:t>, P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Bauer</w:t>
      </w:r>
      <w:r>
        <w:rPr>
          <w:rFonts w:ascii="Arial" w:eastAsia="Times New Roman" w:hAnsi="Arial" w:cs="Arial"/>
          <w:b/>
          <w:vertAlign w:val="superscript"/>
        </w:rPr>
        <w:t>1,17,18</w:t>
      </w:r>
      <w:r>
        <w:rPr>
          <w:rFonts w:ascii="Arial" w:eastAsia="Times New Roman" w:hAnsi="Arial" w:cs="Arial"/>
          <w:b/>
        </w:rPr>
        <w:t>, T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Klockgether</w:t>
      </w:r>
      <w:r>
        <w:rPr>
          <w:rFonts w:ascii="Arial" w:eastAsia="Times New Roman" w:hAnsi="Arial" w:cs="Arial"/>
          <w:b/>
          <w:vertAlign w:val="superscript"/>
        </w:rPr>
        <w:t>19,20</w:t>
      </w:r>
      <w:r>
        <w:rPr>
          <w:rFonts w:ascii="Arial" w:eastAsia="Times New Roman" w:hAnsi="Arial" w:cs="Arial"/>
          <w:b/>
        </w:rPr>
        <w:t>, L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Schöls</w:t>
      </w:r>
      <w:r>
        <w:rPr>
          <w:rFonts w:ascii="Arial" w:eastAsia="Times New Roman" w:hAnsi="Arial" w:cs="Arial"/>
          <w:b/>
          <w:vertAlign w:val="superscript"/>
        </w:rPr>
        <w:t>21,22</w:t>
      </w:r>
      <w:r>
        <w:rPr>
          <w:rFonts w:ascii="Arial" w:eastAsia="Times New Roman" w:hAnsi="Arial" w:cs="Arial"/>
          <w:b/>
        </w:rPr>
        <w:t>, O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Riess</w:t>
      </w:r>
      <w:r>
        <w:rPr>
          <w:rFonts w:ascii="Arial" w:eastAsia="Times New Roman" w:hAnsi="Arial" w:cs="Arial"/>
          <w:b/>
          <w:vertAlign w:val="superscript"/>
        </w:rPr>
        <w:t>1</w:t>
      </w:r>
      <w:r>
        <w:rPr>
          <w:rFonts w:ascii="Arial" w:eastAsia="Times New Roman" w:hAnsi="Arial" w:cs="Arial"/>
          <w:b/>
        </w:rPr>
        <w:t>, The EUROSCA Network, T</w:t>
      </w:r>
      <w:r>
        <w:rPr>
          <w:rFonts w:ascii="Arial" w:eastAsia="Times New Roman" w:hAnsi="Arial" w:cs="Arial"/>
          <w:b/>
        </w:rPr>
        <w:t>.</w:t>
      </w:r>
      <w:r>
        <w:rPr>
          <w:rFonts w:ascii="Arial" w:eastAsia="Times New Roman" w:hAnsi="Arial" w:cs="Arial"/>
          <w:b/>
        </w:rPr>
        <w:t xml:space="preserve"> Schmidt</w:t>
      </w:r>
      <w:r>
        <w:rPr>
          <w:rFonts w:ascii="Arial" w:eastAsia="Times New Roman" w:hAnsi="Arial" w:cs="Arial"/>
          <w:b/>
          <w:vertAlign w:val="superscript"/>
        </w:rPr>
        <w:t>1</w:t>
      </w:r>
    </w:p>
    <w:p>
      <w:pPr>
        <w:pStyle w:val="Authornames"/>
        <w:tabs>
          <w:tab w:val="left" w:pos="567"/>
        </w:tabs>
        <w:rPr>
          <w:sz w:val="24"/>
          <w:szCs w:val="24"/>
        </w:rPr>
      </w:pPr>
      <w:bookmarkStart w:id="0" w:name="_GoBack"/>
      <w:bookmarkEnd w:id="0"/>
    </w:p>
    <w:p>
      <w:pPr>
        <w:ind w:left="284" w:hanging="284"/>
        <w:rPr>
          <w:rFonts w:ascii="Arial" w:eastAsia="Times New Roman" w:hAnsi="Arial" w:cs="Arial"/>
        </w:rPr>
      </w:pPr>
      <w:r>
        <w:rPr>
          <w:rFonts w:eastAsia="Times New Roman"/>
          <w:vertAlign w:val="superscript"/>
        </w:rPr>
        <w:t>1</w:t>
      </w:r>
      <w:r>
        <w:rPr>
          <w:rFonts w:eastAsia="Times New Roman"/>
          <w:vertAlign w:val="superscript"/>
        </w:rPr>
        <w:tab/>
      </w:r>
      <w:r>
        <w:rPr>
          <w:rFonts w:ascii="Arial" w:eastAsia="Times New Roman" w:hAnsi="Arial" w:cs="Arial"/>
        </w:rPr>
        <w:t>Institute of Medical Genetics and Applied Genomics, University of Tübingen,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72076 Tübingen, Germany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2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Department of Human Genetics, Ruhr University Bochum, 44801 Bochum, Germany</w:t>
      </w:r>
    </w:p>
    <w:p>
      <w:pPr>
        <w:ind w:left="284" w:hanging="284"/>
        <w:rPr>
          <w:rFonts w:ascii="Arial" w:eastAsia="Times New Roman" w:hAnsi="Arial" w:cs="Arial"/>
        </w:rPr>
      </w:pPr>
      <w:bookmarkStart w:id="1" w:name="_Hlk170391692"/>
      <w:r>
        <w:rPr>
          <w:rFonts w:ascii="Arial" w:eastAsia="Times New Roman" w:hAnsi="Arial" w:cs="Arial"/>
          <w:vertAlign w:val="superscript"/>
        </w:rPr>
        <w:t>3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Department of Clinical Epidemiology and Applied Biometry, University of Tübingen, 72076 Tübingen, Germany</w:t>
      </w:r>
    </w:p>
    <w:bookmarkEnd w:id="1"/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4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i3S - Instituto de </w:t>
      </w:r>
      <w:proofErr w:type="spellStart"/>
      <w:r>
        <w:rPr>
          <w:rFonts w:ascii="Arial" w:eastAsia="Times New Roman" w:hAnsi="Arial" w:cs="Arial"/>
        </w:rPr>
        <w:t>Investigação</w:t>
      </w:r>
      <w:proofErr w:type="spellEnd"/>
      <w:r>
        <w:rPr>
          <w:rFonts w:ascii="Arial" w:eastAsia="Times New Roman" w:hAnsi="Arial" w:cs="Arial"/>
        </w:rPr>
        <w:t xml:space="preserve"> e </w:t>
      </w:r>
      <w:proofErr w:type="spellStart"/>
      <w:r>
        <w:rPr>
          <w:rFonts w:ascii="Arial" w:eastAsia="Times New Roman" w:hAnsi="Arial" w:cs="Arial"/>
        </w:rPr>
        <w:t>Inovação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Saúde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Universidade</w:t>
      </w:r>
      <w:proofErr w:type="spellEnd"/>
      <w:r>
        <w:rPr>
          <w:rFonts w:ascii="Arial" w:eastAsia="Times New Roman" w:hAnsi="Arial" w:cs="Arial"/>
        </w:rPr>
        <w:t xml:space="preserve"> do Porto, 4200-135 Porto, Portugal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5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IPATIMUP - Institute of Molecular Pathology and Immunology, University of Porto, 4200-135 Porto, Portugal</w:t>
      </w:r>
    </w:p>
    <w:p>
      <w:pPr>
        <w:ind w:left="284" w:hanging="284"/>
        <w:rPr>
          <w:rFonts w:ascii="Arial" w:eastAsia="Times New Roman" w:hAnsi="Arial" w:cs="Arial"/>
          <w:vertAlign w:val="superscript"/>
        </w:rPr>
      </w:pPr>
      <w:r>
        <w:rPr>
          <w:rFonts w:ascii="Arial" w:eastAsia="Times New Roman" w:hAnsi="Arial" w:cs="Arial"/>
          <w:vertAlign w:val="superscript"/>
        </w:rPr>
        <w:t>6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ICBAS School of Medicine and Biomedical Sciences, University of Porto, 4050-313 Porto, Portugal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7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Department of Neurology and Neurosurgery &amp; The Neuro (Montreal Neurological Institute</w:t>
      </w:r>
      <w:r>
        <w:rPr>
          <w:rFonts w:ascii="Cambria Math" w:eastAsia="Times New Roman" w:hAnsi="Cambria Math" w:cs="Cambria Math"/>
        </w:rPr>
        <w:t>‐</w:t>
      </w:r>
      <w:r>
        <w:rPr>
          <w:rFonts w:ascii="Arial" w:eastAsia="Times New Roman" w:hAnsi="Arial" w:cs="Arial"/>
        </w:rPr>
        <w:t>Hospital), McGill University, H3A 1A1 Montréal, Canada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8</w:t>
      </w:r>
      <w:r>
        <w:rPr>
          <w:rFonts w:ascii="Arial" w:eastAsia="Times New Roman" w:hAnsi="Arial" w:cs="Arial"/>
          <w:vertAlign w:val="superscript"/>
        </w:rPr>
        <w:tab/>
      </w:r>
      <w:proofErr w:type="spellStart"/>
      <w:r>
        <w:rPr>
          <w:rFonts w:ascii="Arial" w:eastAsia="Times New Roman" w:hAnsi="Arial" w:cs="Arial"/>
        </w:rPr>
        <w:t>Departamento</w:t>
      </w:r>
      <w:proofErr w:type="spellEnd"/>
      <w:r>
        <w:rPr>
          <w:rFonts w:ascii="Arial" w:eastAsia="Times New Roman" w:hAnsi="Arial" w:cs="Arial"/>
        </w:rPr>
        <w:t xml:space="preserve"> de </w:t>
      </w:r>
      <w:proofErr w:type="spellStart"/>
      <w:r>
        <w:rPr>
          <w:rFonts w:ascii="Arial" w:eastAsia="Times New Roman" w:hAnsi="Arial" w:cs="Arial"/>
        </w:rPr>
        <w:t>Medicina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Interna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Faculdade</w:t>
      </w:r>
      <w:proofErr w:type="spellEnd"/>
      <w:r>
        <w:rPr>
          <w:rFonts w:ascii="Arial" w:eastAsia="Times New Roman" w:hAnsi="Arial" w:cs="Arial"/>
        </w:rPr>
        <w:t xml:space="preserve"> de </w:t>
      </w:r>
      <w:proofErr w:type="spellStart"/>
      <w:r>
        <w:rPr>
          <w:rFonts w:ascii="Arial" w:eastAsia="Times New Roman" w:hAnsi="Arial" w:cs="Arial"/>
        </w:rPr>
        <w:t>Medicina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Universidade</w:t>
      </w:r>
      <w:proofErr w:type="spellEnd"/>
      <w:r>
        <w:rPr>
          <w:rFonts w:ascii="Arial" w:eastAsia="Times New Roman" w:hAnsi="Arial" w:cs="Arial"/>
        </w:rPr>
        <w:t xml:space="preserve"> Federal do Rio Grande do Sul, 90035-903, Porto Alegre, Brazil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9</w:t>
      </w:r>
      <w:r>
        <w:rPr>
          <w:rFonts w:ascii="Arial" w:eastAsia="Times New Roman" w:hAnsi="Arial" w:cs="Arial"/>
          <w:vertAlign w:val="superscript"/>
        </w:rPr>
        <w:tab/>
      </w:r>
      <w:proofErr w:type="spellStart"/>
      <w:r>
        <w:rPr>
          <w:rFonts w:ascii="Arial" w:eastAsia="Times New Roman" w:hAnsi="Arial" w:cs="Arial"/>
        </w:rPr>
        <w:t>Serviço</w:t>
      </w:r>
      <w:proofErr w:type="spellEnd"/>
      <w:r>
        <w:rPr>
          <w:rFonts w:ascii="Arial" w:eastAsia="Times New Roman" w:hAnsi="Arial" w:cs="Arial"/>
        </w:rPr>
        <w:t xml:space="preserve"> de </w:t>
      </w:r>
      <w:proofErr w:type="spellStart"/>
      <w:r>
        <w:rPr>
          <w:rFonts w:ascii="Arial" w:eastAsia="Times New Roman" w:hAnsi="Arial" w:cs="Arial"/>
        </w:rPr>
        <w:t>Genética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Médica</w:t>
      </w:r>
      <w:proofErr w:type="spellEnd"/>
      <w:r>
        <w:rPr>
          <w:rFonts w:ascii="Arial" w:eastAsia="Times New Roman" w:hAnsi="Arial" w:cs="Arial"/>
        </w:rPr>
        <w:t xml:space="preserve">, Hospital de </w:t>
      </w:r>
      <w:proofErr w:type="spellStart"/>
      <w:r>
        <w:rPr>
          <w:rFonts w:ascii="Arial" w:eastAsia="Times New Roman" w:hAnsi="Arial" w:cs="Arial"/>
        </w:rPr>
        <w:t>Clínicas</w:t>
      </w:r>
      <w:proofErr w:type="spellEnd"/>
      <w:r>
        <w:rPr>
          <w:rFonts w:ascii="Arial" w:eastAsia="Times New Roman" w:hAnsi="Arial" w:cs="Arial"/>
        </w:rPr>
        <w:t xml:space="preserve"> de Porto Alegre, 90035-903, Porto Alegre, Brazil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10</w:t>
      </w:r>
      <w:r>
        <w:rPr>
          <w:rFonts w:ascii="Arial" w:eastAsia="Times New Roman" w:hAnsi="Arial" w:cs="Arial"/>
          <w:vertAlign w:val="superscript"/>
        </w:rPr>
        <w:tab/>
      </w:r>
      <w:proofErr w:type="spellStart"/>
      <w:r>
        <w:rPr>
          <w:rFonts w:ascii="Arial" w:eastAsia="Times New Roman" w:hAnsi="Arial" w:cs="Arial"/>
        </w:rPr>
        <w:t>Departamento</w:t>
      </w:r>
      <w:proofErr w:type="spellEnd"/>
      <w:r>
        <w:rPr>
          <w:rFonts w:ascii="Arial" w:eastAsia="Times New Roman" w:hAnsi="Arial" w:cs="Arial"/>
        </w:rPr>
        <w:t xml:space="preserve"> de </w:t>
      </w:r>
      <w:proofErr w:type="spellStart"/>
      <w:r>
        <w:rPr>
          <w:rFonts w:ascii="Arial" w:eastAsia="Times New Roman" w:hAnsi="Arial" w:cs="Arial"/>
        </w:rPr>
        <w:t>Bioquímica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Universidade</w:t>
      </w:r>
      <w:proofErr w:type="spellEnd"/>
      <w:r>
        <w:rPr>
          <w:rFonts w:ascii="Arial" w:eastAsia="Times New Roman" w:hAnsi="Arial" w:cs="Arial"/>
        </w:rPr>
        <w:t xml:space="preserve"> Federal do Rio Grande do Sul, 90035-003Porto Alegre, Brazil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11</w:t>
      </w:r>
      <w:r>
        <w:rPr>
          <w:rFonts w:ascii="Arial" w:eastAsia="Times New Roman" w:hAnsi="Arial" w:cs="Arial"/>
          <w:vertAlign w:val="superscript"/>
        </w:rPr>
        <w:tab/>
      </w:r>
      <w:proofErr w:type="spellStart"/>
      <w:r>
        <w:rPr>
          <w:rFonts w:ascii="Arial" w:eastAsia="Times New Roman" w:hAnsi="Arial" w:cs="Arial"/>
        </w:rPr>
        <w:t>Universidade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Estadual</w:t>
      </w:r>
      <w:proofErr w:type="spellEnd"/>
      <w:r>
        <w:rPr>
          <w:rFonts w:ascii="Arial" w:eastAsia="Times New Roman" w:hAnsi="Arial" w:cs="Arial"/>
        </w:rPr>
        <w:t xml:space="preserve"> de Campinas (UNICAMP), 13083-970 Campinas, Brazil</w:t>
      </w:r>
    </w:p>
    <w:p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12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Department of Neurology, Tel Aviv University, 69978 Tel Aviv, Israel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13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Neurogenetics Research </w:t>
      </w:r>
      <w:proofErr w:type="spellStart"/>
      <w:r>
        <w:rPr>
          <w:rFonts w:ascii="Arial" w:eastAsia="Times New Roman" w:hAnsi="Arial" w:cs="Arial"/>
        </w:rPr>
        <w:t>Center</w:t>
      </w:r>
      <w:proofErr w:type="spellEnd"/>
      <w:r>
        <w:rPr>
          <w:rFonts w:ascii="Arial" w:eastAsia="Times New Roman" w:hAnsi="Arial" w:cs="Arial"/>
        </w:rPr>
        <w:t xml:space="preserve">, Instituto Nacional de </w:t>
      </w:r>
      <w:proofErr w:type="spellStart"/>
      <w:r>
        <w:rPr>
          <w:rFonts w:ascii="Arial" w:eastAsia="Times New Roman" w:hAnsi="Arial" w:cs="Arial"/>
        </w:rPr>
        <w:t>Ciencias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Neurológicas</w:t>
      </w:r>
      <w:proofErr w:type="spellEnd"/>
      <w:r>
        <w:rPr>
          <w:rFonts w:ascii="Arial" w:eastAsia="Times New Roman" w:hAnsi="Arial" w:cs="Arial"/>
        </w:rPr>
        <w:t>, 15003 Lima, Peru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14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Department of Neurology, Donders Institute for Brain, Cognition, and Behaviour, Radboud University Medical </w:t>
      </w:r>
      <w:proofErr w:type="spellStart"/>
      <w:r>
        <w:rPr>
          <w:rFonts w:ascii="Arial" w:eastAsia="Times New Roman" w:hAnsi="Arial" w:cs="Arial"/>
        </w:rPr>
        <w:t>Center</w:t>
      </w:r>
      <w:proofErr w:type="spellEnd"/>
      <w:r>
        <w:rPr>
          <w:rFonts w:ascii="Arial" w:eastAsia="Times New Roman" w:hAnsi="Arial" w:cs="Arial"/>
        </w:rPr>
        <w:t>, 6525 Nijmegen, The Netherlands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lastRenderedPageBreak/>
        <w:t>15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4 AP-HP, Groupe </w:t>
      </w:r>
      <w:proofErr w:type="spellStart"/>
      <w:r>
        <w:rPr>
          <w:rFonts w:ascii="Arial" w:eastAsia="Times New Roman" w:hAnsi="Arial" w:cs="Arial"/>
        </w:rPr>
        <w:t>Hospitalier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Pitié-Salpêtrière</w:t>
      </w:r>
      <w:proofErr w:type="spellEnd"/>
      <w:r>
        <w:rPr>
          <w:rFonts w:ascii="Arial" w:eastAsia="Times New Roman" w:hAnsi="Arial" w:cs="Arial"/>
        </w:rPr>
        <w:t>, Department of Genetics and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Cytogenetics, F-75013, Paris, France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16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Sorbonne </w:t>
      </w:r>
      <w:proofErr w:type="spellStart"/>
      <w:r>
        <w:rPr>
          <w:rFonts w:ascii="Arial" w:eastAsia="Times New Roman" w:hAnsi="Arial" w:cs="Arial"/>
        </w:rPr>
        <w:t>Université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Institut</w:t>
      </w:r>
      <w:proofErr w:type="spellEnd"/>
      <w:r>
        <w:rPr>
          <w:rFonts w:ascii="Arial" w:eastAsia="Times New Roman" w:hAnsi="Arial" w:cs="Arial"/>
        </w:rPr>
        <w:t xml:space="preserve"> du </w:t>
      </w:r>
      <w:proofErr w:type="spellStart"/>
      <w:r>
        <w:rPr>
          <w:rFonts w:ascii="Arial" w:eastAsia="Times New Roman" w:hAnsi="Arial" w:cs="Arial"/>
        </w:rPr>
        <w:t>Cerveau</w:t>
      </w:r>
      <w:proofErr w:type="spellEnd"/>
      <w:r>
        <w:rPr>
          <w:rFonts w:ascii="Arial" w:eastAsia="Times New Roman" w:hAnsi="Arial" w:cs="Arial"/>
        </w:rPr>
        <w:t xml:space="preserve"> - Paris Brain Institute - ICM, </w:t>
      </w:r>
      <w:proofErr w:type="spellStart"/>
      <w:r>
        <w:rPr>
          <w:rFonts w:ascii="Arial" w:eastAsia="Times New Roman" w:hAnsi="Arial" w:cs="Arial"/>
        </w:rPr>
        <w:t>Inserm</w:t>
      </w:r>
      <w:proofErr w:type="spellEnd"/>
      <w:r>
        <w:rPr>
          <w:rFonts w:ascii="Arial" w:eastAsia="Times New Roman" w:hAnsi="Arial" w:cs="Arial"/>
        </w:rPr>
        <w:t xml:space="preserve">, CNRS, APHP, University Hospital </w:t>
      </w:r>
      <w:proofErr w:type="spellStart"/>
      <w:r>
        <w:rPr>
          <w:rFonts w:ascii="Arial" w:eastAsia="Times New Roman" w:hAnsi="Arial" w:cs="Arial"/>
        </w:rPr>
        <w:t>Pitié-Salpêtrière</w:t>
      </w:r>
      <w:proofErr w:type="spellEnd"/>
      <w:r>
        <w:rPr>
          <w:rFonts w:ascii="Arial" w:eastAsia="Times New Roman" w:hAnsi="Arial" w:cs="Arial"/>
        </w:rPr>
        <w:t>, 75013, Paris, France</w:t>
      </w:r>
    </w:p>
    <w:p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17</w:t>
      </w:r>
      <w:r>
        <w:rPr>
          <w:rFonts w:ascii="Arial" w:eastAsia="Times New Roman" w:hAnsi="Arial" w:cs="Arial"/>
          <w:vertAlign w:val="superscript"/>
        </w:rPr>
        <w:tab/>
      </w:r>
      <w:proofErr w:type="spellStart"/>
      <w:r>
        <w:rPr>
          <w:rFonts w:ascii="Arial" w:eastAsia="Times New Roman" w:hAnsi="Arial" w:cs="Arial"/>
        </w:rPr>
        <w:t>Centogene</w:t>
      </w:r>
      <w:proofErr w:type="spellEnd"/>
      <w:r>
        <w:rPr>
          <w:rFonts w:ascii="Arial" w:eastAsia="Times New Roman" w:hAnsi="Arial" w:cs="Arial"/>
        </w:rPr>
        <w:t xml:space="preserve"> GmbH, 18055 Rostock, Germany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18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Clinic for Internal Medicine, Department of </w:t>
      </w:r>
      <w:proofErr w:type="spellStart"/>
      <w:r>
        <w:rPr>
          <w:rFonts w:ascii="Arial" w:eastAsia="Times New Roman" w:hAnsi="Arial" w:cs="Arial"/>
        </w:rPr>
        <w:t>Hematology</w:t>
      </w:r>
      <w:proofErr w:type="spellEnd"/>
      <w:r>
        <w:rPr>
          <w:rFonts w:ascii="Arial" w:eastAsia="Times New Roman" w:hAnsi="Arial" w:cs="Arial"/>
        </w:rPr>
        <w:t>, Oncology, Palliative Medicine, University Medicine Rostock, 18057 Rostock, Germany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19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German </w:t>
      </w:r>
      <w:proofErr w:type="spellStart"/>
      <w:r>
        <w:rPr>
          <w:rFonts w:ascii="Arial" w:eastAsia="Times New Roman" w:hAnsi="Arial" w:cs="Arial"/>
        </w:rPr>
        <w:t>Center</w:t>
      </w:r>
      <w:proofErr w:type="spellEnd"/>
      <w:r>
        <w:rPr>
          <w:rFonts w:ascii="Arial" w:eastAsia="Times New Roman" w:hAnsi="Arial" w:cs="Arial"/>
        </w:rPr>
        <w:t xml:space="preserve"> for Neurodegenerative Diseases (DZNE), 53127 Bonn, Germany</w:t>
      </w:r>
    </w:p>
    <w:p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20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>Department of Neurology, University Hospital Bonn, 53127 Bonn, Germany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21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Department of Neurology and </w:t>
      </w:r>
      <w:proofErr w:type="spellStart"/>
      <w:r>
        <w:rPr>
          <w:rFonts w:ascii="Arial" w:eastAsia="Times New Roman" w:hAnsi="Arial" w:cs="Arial"/>
        </w:rPr>
        <w:t>Hertie</w:t>
      </w:r>
      <w:proofErr w:type="spellEnd"/>
      <w:r>
        <w:rPr>
          <w:rFonts w:ascii="Arial" w:eastAsia="Times New Roman" w:hAnsi="Arial" w:cs="Arial"/>
        </w:rPr>
        <w:t>-Institute for Clinical Brain Research, University of Tübingen, 72076 Tübingen, Germany</w:t>
      </w:r>
    </w:p>
    <w:p>
      <w:pPr>
        <w:ind w:left="284" w:hanging="28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vertAlign w:val="superscript"/>
        </w:rPr>
        <w:t>22</w:t>
      </w:r>
      <w:r>
        <w:rPr>
          <w:rFonts w:ascii="Arial" w:eastAsia="Times New Roman" w:hAnsi="Arial" w:cs="Arial"/>
          <w:vertAlign w:val="superscript"/>
        </w:rPr>
        <w:tab/>
      </w:r>
      <w:r>
        <w:rPr>
          <w:rFonts w:ascii="Arial" w:eastAsia="Times New Roman" w:hAnsi="Arial" w:cs="Arial"/>
        </w:rPr>
        <w:t xml:space="preserve">German </w:t>
      </w:r>
      <w:proofErr w:type="spellStart"/>
      <w:r>
        <w:rPr>
          <w:rFonts w:ascii="Arial" w:eastAsia="Times New Roman" w:hAnsi="Arial" w:cs="Arial"/>
        </w:rPr>
        <w:t>Center</w:t>
      </w:r>
      <w:proofErr w:type="spellEnd"/>
      <w:r>
        <w:rPr>
          <w:rFonts w:ascii="Arial" w:eastAsia="Times New Roman" w:hAnsi="Arial" w:cs="Arial"/>
        </w:rPr>
        <w:t xml:space="preserve"> of Neurodegenerative Diseases (DZNE), 72076 Tübingen, Germany</w:t>
      </w:r>
    </w:p>
    <w:p>
      <w:pPr>
        <w:pStyle w:val="IWAAuthoraddress"/>
        <w:tabs>
          <w:tab w:val="left" w:pos="567"/>
        </w:tabs>
        <w:jc w:val="left"/>
        <w:rPr>
          <w:sz w:val="24"/>
          <w:szCs w:val="24"/>
        </w:rPr>
      </w:pPr>
    </w:p>
    <w:p>
      <w:pPr>
        <w:pStyle w:val="IWAKeyword"/>
        <w:tabs>
          <w:tab w:val="left" w:pos="567"/>
        </w:tabs>
        <w:spacing w:after="120" w:line="280" w:lineRule="atLeas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ABSTRACT:</w:t>
      </w:r>
    </w:p>
    <w:p>
      <w:pPr>
        <w:spacing w:after="12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Background:</w:t>
      </w:r>
      <w:r>
        <w:rPr>
          <w:rFonts w:ascii="Arial" w:eastAsia="Times New Roman" w:hAnsi="Arial" w:cs="Arial"/>
        </w:rPr>
        <w:t xml:space="preserve"> Machado-Joseph disease (MJD) is an autosomal dominant neurodegenerative spinocerebellar ataxia caused by a polyglutamine-coding CAG repeat expansion in the </w:t>
      </w:r>
      <w:r>
        <w:rPr>
          <w:rFonts w:ascii="Arial" w:eastAsia="Times New Roman" w:hAnsi="Arial" w:cs="Arial"/>
          <w:i/>
        </w:rPr>
        <w:t>ATXN3</w:t>
      </w:r>
      <w:r>
        <w:rPr>
          <w:rFonts w:ascii="Arial" w:eastAsia="Times New Roman" w:hAnsi="Arial" w:cs="Arial"/>
        </w:rPr>
        <w:t xml:space="preserve"> gene. While the CAG</w:t>
      </w:r>
      <w:r>
        <w:rPr>
          <w:rFonts w:ascii="Arial" w:eastAsia="Times New Roman" w:hAnsi="Arial" w:cs="Arial"/>
        </w:rPr>
        <w:t xml:space="preserve"> repeat</w:t>
      </w:r>
      <w:r>
        <w:rPr>
          <w:rFonts w:ascii="Arial" w:eastAsia="Times New Roman" w:hAnsi="Arial" w:cs="Arial"/>
        </w:rPr>
        <w:t xml:space="preserve"> length negatively </w:t>
      </w:r>
      <w:r>
        <w:rPr>
          <w:rFonts w:ascii="Arial" w:eastAsia="Times New Roman" w:hAnsi="Arial" w:cs="Arial"/>
        </w:rPr>
        <w:t xml:space="preserve">correlates </w:t>
      </w:r>
      <w:r>
        <w:rPr>
          <w:rFonts w:ascii="Arial" w:eastAsia="Times New Roman" w:hAnsi="Arial" w:cs="Arial"/>
        </w:rPr>
        <w:t xml:space="preserve">with the age at onset, it </w:t>
      </w:r>
      <w:r>
        <w:rPr>
          <w:rFonts w:ascii="Arial" w:eastAsia="Times New Roman" w:hAnsi="Arial" w:cs="Arial"/>
        </w:rPr>
        <w:t>explains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on</w:t>
      </w:r>
      <w:r>
        <w:rPr>
          <w:rFonts w:ascii="Arial" w:eastAsia="Times New Roman" w:hAnsi="Arial" w:cs="Arial"/>
        </w:rPr>
        <w:t xml:space="preserve">ly </w:t>
      </w:r>
      <w:r>
        <w:rPr>
          <w:rFonts w:ascii="Arial" w:eastAsia="Times New Roman" w:hAnsi="Arial" w:cs="Arial"/>
        </w:rPr>
        <w:t xml:space="preserve">about </w:t>
      </w:r>
      <w:r>
        <w:rPr>
          <w:rFonts w:ascii="Arial" w:eastAsia="Times New Roman" w:hAnsi="Arial" w:cs="Arial"/>
        </w:rPr>
        <w:t xml:space="preserve">50% of its variability. Despite </w:t>
      </w:r>
      <w:r>
        <w:rPr>
          <w:rFonts w:ascii="Arial" w:eastAsia="Times New Roman" w:hAnsi="Arial" w:cs="Arial"/>
        </w:rPr>
        <w:t>extensive</w:t>
      </w:r>
      <w:r>
        <w:rPr>
          <w:rFonts w:ascii="Arial" w:eastAsia="Times New Roman" w:hAnsi="Arial" w:cs="Arial"/>
        </w:rPr>
        <w:t xml:space="preserve"> efforts </w:t>
      </w:r>
      <w:r>
        <w:rPr>
          <w:rFonts w:ascii="Arial" w:eastAsia="Times New Roman" w:hAnsi="Arial" w:cs="Arial"/>
        </w:rPr>
        <w:t>to</w:t>
      </w:r>
      <w:r>
        <w:rPr>
          <w:rFonts w:ascii="Arial" w:eastAsia="Times New Roman" w:hAnsi="Arial" w:cs="Arial"/>
        </w:rPr>
        <w:t xml:space="preserve"> identify contributing genetic factors, </w:t>
      </w:r>
      <w:r>
        <w:rPr>
          <w:rFonts w:ascii="Arial" w:eastAsia="Times New Roman" w:hAnsi="Arial" w:cs="Arial"/>
        </w:rPr>
        <w:t xml:space="preserve">robust </w:t>
      </w:r>
      <w:r>
        <w:rPr>
          <w:rFonts w:ascii="Arial" w:eastAsia="Times New Roman" w:hAnsi="Arial" w:cs="Arial"/>
        </w:rPr>
        <w:t xml:space="preserve">candidate genes with </w:t>
      </w:r>
      <w:r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 plausible impact on the molecular pathogenesis of MJD </w:t>
      </w:r>
      <w:r>
        <w:rPr>
          <w:rFonts w:ascii="Arial" w:eastAsia="Times New Roman" w:hAnsi="Arial" w:cs="Arial"/>
        </w:rPr>
        <w:t xml:space="preserve">remain </w:t>
      </w:r>
      <w:r>
        <w:rPr>
          <w:rFonts w:ascii="Arial" w:eastAsia="Times New Roman" w:hAnsi="Arial" w:cs="Arial"/>
        </w:rPr>
        <w:t xml:space="preserve">scarce. </w:t>
      </w:r>
      <w:r>
        <w:rPr>
          <w:rFonts w:ascii="Arial" w:eastAsia="Times New Roman" w:hAnsi="Arial" w:cs="Arial"/>
        </w:rPr>
        <w:t>In this study</w:t>
      </w:r>
      <w:r>
        <w:rPr>
          <w:rFonts w:ascii="Arial" w:eastAsia="Times New Roman" w:hAnsi="Arial" w:cs="Arial"/>
        </w:rPr>
        <w:t xml:space="preserve">, we analysed the role of missense single nucleotide polymorphism (SNP) variants in the </w:t>
      </w:r>
      <w:r>
        <w:rPr>
          <w:rFonts w:ascii="Arial" w:eastAsia="Times New Roman" w:hAnsi="Arial" w:cs="Arial"/>
          <w:i/>
        </w:rPr>
        <w:t xml:space="preserve">PRKN </w:t>
      </w:r>
      <w:r>
        <w:rPr>
          <w:rFonts w:ascii="Arial" w:eastAsia="Times New Roman" w:hAnsi="Arial" w:cs="Arial"/>
        </w:rPr>
        <w:t>gene</w:t>
      </w:r>
      <w:r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</w:rPr>
        <w:t xml:space="preserve">in a large cohort of MJD patients. </w:t>
      </w:r>
      <w:r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  <w:i/>
        </w:rPr>
        <w:t>PRKN</w:t>
      </w:r>
      <w:r>
        <w:rPr>
          <w:rFonts w:ascii="Arial" w:eastAsia="Times New Roman" w:hAnsi="Arial" w:cs="Arial"/>
        </w:rPr>
        <w:t xml:space="preserve"> gene encodes parkin, an E3 ubiquitin ligase associated with Parkinson’s disease and a known interaction partner of ataxin-3, the MJD protein, which functions as a deubiquitinase.</w:t>
      </w:r>
    </w:p>
    <w:p>
      <w:pPr>
        <w:spacing w:after="12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Methods:</w:t>
      </w:r>
      <w:r>
        <w:rPr>
          <w:rFonts w:ascii="Arial" w:eastAsia="Times New Roman" w:hAnsi="Arial" w:cs="Arial"/>
        </w:rPr>
        <w:t xml:space="preserve"> High-resolution melting analysis and Sanger sequencing were </w:t>
      </w:r>
      <w:r>
        <w:rPr>
          <w:rFonts w:ascii="Arial" w:eastAsia="Times New Roman" w:hAnsi="Arial" w:cs="Arial"/>
        </w:rPr>
        <w:t>used</w:t>
      </w:r>
      <w:r>
        <w:rPr>
          <w:rFonts w:ascii="Arial" w:eastAsia="Times New Roman" w:hAnsi="Arial" w:cs="Arial"/>
        </w:rPr>
        <w:t xml:space="preserve"> to genotype three selected missense SNPs in the </w:t>
      </w:r>
      <w:r>
        <w:rPr>
          <w:rFonts w:ascii="Arial" w:eastAsia="Times New Roman" w:hAnsi="Arial" w:cs="Arial"/>
          <w:i/>
        </w:rPr>
        <w:t xml:space="preserve">PRKN </w:t>
      </w:r>
      <w:r>
        <w:rPr>
          <w:rFonts w:ascii="Arial" w:eastAsia="Times New Roman" w:hAnsi="Arial" w:cs="Arial"/>
        </w:rPr>
        <w:t>gene in DNA samples from over 900 MJD patients. A multivariate linear regression model was employed to assess the impact of the</w:t>
      </w:r>
      <w:r>
        <w:rPr>
          <w:rFonts w:ascii="Arial" w:eastAsia="Times New Roman" w:hAnsi="Arial" w:cs="Arial"/>
        </w:rPr>
        <w:t>se</w:t>
      </w:r>
      <w:r>
        <w:rPr>
          <w:rFonts w:ascii="Arial" w:eastAsia="Times New Roman" w:hAnsi="Arial" w:cs="Arial"/>
        </w:rPr>
        <w:t xml:space="preserve"> genotypes on the age at onset. To investigate functional </w:t>
      </w:r>
      <w:r>
        <w:rPr>
          <w:rFonts w:ascii="Arial" w:eastAsia="Times New Roman" w:hAnsi="Arial" w:cs="Arial"/>
        </w:rPr>
        <w:t>consequences</w:t>
      </w:r>
      <w:r>
        <w:rPr>
          <w:rFonts w:ascii="Arial" w:eastAsia="Times New Roman" w:hAnsi="Arial" w:cs="Arial"/>
        </w:rPr>
        <w:t xml:space="preserve"> on </w:t>
      </w:r>
      <w:r>
        <w:rPr>
          <w:rFonts w:ascii="Arial" w:eastAsia="Times New Roman" w:hAnsi="Arial" w:cs="Arial"/>
        </w:rPr>
        <w:t>MJD</w:t>
      </w:r>
      <w:r>
        <w:rPr>
          <w:rFonts w:ascii="Arial" w:eastAsia="Times New Roman" w:hAnsi="Arial" w:cs="Arial"/>
        </w:rPr>
        <w:t xml:space="preserve"> molecular pathogenesis, we utilized an overexpression cell model. </w:t>
      </w:r>
      <w:r>
        <w:rPr>
          <w:rFonts w:ascii="Arial" w:eastAsia="Times New Roman" w:hAnsi="Arial" w:cs="Arial"/>
        </w:rPr>
        <w:t>Using</w:t>
      </w:r>
      <w:r>
        <w:rPr>
          <w:rFonts w:ascii="Arial" w:eastAsia="Times New Roman" w:hAnsi="Arial" w:cs="Arial"/>
        </w:rPr>
        <w:t xml:space="preserve"> protein biochemistry-based method</w:t>
      </w:r>
      <w:r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and cell viability</w:t>
      </w:r>
      <w:r>
        <w:rPr>
          <w:rFonts w:ascii="Arial" w:eastAsia="Times New Roman" w:hAnsi="Arial" w:cs="Arial"/>
        </w:rPr>
        <w:t xml:space="preserve"> assays</w:t>
      </w:r>
      <w:r>
        <w:rPr>
          <w:rFonts w:ascii="Arial" w:eastAsia="Times New Roman" w:hAnsi="Arial" w:cs="Arial"/>
        </w:rPr>
        <w:t xml:space="preserve">, we </w:t>
      </w:r>
      <w:r>
        <w:rPr>
          <w:rFonts w:ascii="Arial" w:eastAsia="Times New Roman" w:hAnsi="Arial" w:cs="Arial"/>
        </w:rPr>
        <w:t>examined</w:t>
      </w:r>
      <w:r>
        <w:rPr>
          <w:rFonts w:ascii="Arial" w:eastAsia="Times New Roman" w:hAnsi="Arial" w:cs="Arial"/>
        </w:rPr>
        <w:t xml:space="preserve"> effects on soluble and aggregated protein levels, protein-protein interactions, and </w:t>
      </w:r>
      <w:r>
        <w:rPr>
          <w:rFonts w:ascii="Arial" w:eastAsia="Times New Roman" w:hAnsi="Arial" w:cs="Arial"/>
        </w:rPr>
        <w:t xml:space="preserve">mitophagy – </w:t>
      </w:r>
      <w:r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autophagic removal of damaged mitochondria</w:t>
      </w:r>
    </w:p>
    <w:p>
      <w:pPr>
        <w:spacing w:after="12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Results: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</w:t>
      </w:r>
      <w:r>
        <w:rPr>
          <w:rFonts w:ascii="Arial" w:eastAsia="Times New Roman" w:hAnsi="Arial" w:cs="Arial"/>
        </w:rPr>
        <w:t xml:space="preserve"> V380L variant in parkin </w:t>
      </w:r>
      <w:r>
        <w:rPr>
          <w:rFonts w:ascii="Arial" w:eastAsia="Times New Roman" w:hAnsi="Arial" w:cs="Arial"/>
        </w:rPr>
        <w:t xml:space="preserve">was identified </w:t>
      </w:r>
      <w:r>
        <w:rPr>
          <w:rFonts w:ascii="Arial" w:eastAsia="Times New Roman" w:hAnsi="Arial" w:cs="Arial"/>
        </w:rPr>
        <w:t xml:space="preserve">as a relevant factor, </w:t>
      </w:r>
      <w:r>
        <w:rPr>
          <w:rFonts w:ascii="Arial" w:eastAsia="Times New Roman" w:hAnsi="Arial" w:cs="Arial"/>
        </w:rPr>
        <w:t>reducing</w:t>
      </w:r>
      <w:r>
        <w:rPr>
          <w:rFonts w:ascii="Arial" w:eastAsia="Times New Roman" w:hAnsi="Arial" w:cs="Arial"/>
        </w:rPr>
        <w:t xml:space="preserve"> the age at onset by </w:t>
      </w:r>
      <w:r>
        <w:rPr>
          <w:rFonts w:ascii="Arial" w:eastAsia="Times New Roman" w:hAnsi="Arial" w:cs="Arial"/>
        </w:rPr>
        <w:t>three</w:t>
      </w:r>
      <w:r>
        <w:rPr>
          <w:rFonts w:ascii="Arial" w:eastAsia="Times New Roman" w:hAnsi="Arial" w:cs="Arial"/>
        </w:rPr>
        <w:t xml:space="preserve"> years in homozygous carriers. Functional analysis in </w:t>
      </w:r>
      <w:r>
        <w:rPr>
          <w:rFonts w:ascii="Arial" w:eastAsia="Times New Roman" w:hAnsi="Arial" w:cs="Arial"/>
        </w:rPr>
        <w:t>the</w:t>
      </w:r>
      <w:r>
        <w:rPr>
          <w:rFonts w:ascii="Arial" w:eastAsia="Times New Roman" w:hAnsi="Arial" w:cs="Arial"/>
        </w:rPr>
        <w:t xml:space="preserve"> MJD cell model </w:t>
      </w:r>
      <w:r>
        <w:rPr>
          <w:rFonts w:ascii="Arial" w:eastAsia="Times New Roman" w:hAnsi="Arial" w:cs="Arial"/>
        </w:rPr>
        <w:t xml:space="preserve">revealed </w:t>
      </w:r>
      <w:r>
        <w:rPr>
          <w:rFonts w:ascii="Arial" w:eastAsia="Times New Roman" w:hAnsi="Arial" w:cs="Arial"/>
        </w:rPr>
        <w:t xml:space="preserve">that parkin V380L did not </w:t>
      </w:r>
      <w:r>
        <w:rPr>
          <w:rFonts w:ascii="Arial" w:eastAsia="Times New Roman" w:hAnsi="Arial" w:cs="Arial"/>
        </w:rPr>
        <w:t xml:space="preserve">alter </w:t>
      </w:r>
      <w:r>
        <w:rPr>
          <w:rFonts w:ascii="Arial" w:eastAsia="Times New Roman" w:hAnsi="Arial" w:cs="Arial"/>
        </w:rPr>
        <w:t xml:space="preserve">soluble </w:t>
      </w:r>
      <w:r>
        <w:rPr>
          <w:rFonts w:ascii="Arial" w:eastAsia="Times New Roman" w:hAnsi="Arial" w:cs="Arial"/>
        </w:rPr>
        <w:lastRenderedPageBreak/>
        <w:t>or aggregate</w:t>
      </w:r>
      <w:r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 ataxin-3 </w:t>
      </w:r>
      <w:r>
        <w:rPr>
          <w:rFonts w:ascii="Arial" w:eastAsia="Times New Roman" w:hAnsi="Arial" w:cs="Arial"/>
        </w:rPr>
        <w:t xml:space="preserve">levels </w:t>
      </w:r>
      <w:r>
        <w:rPr>
          <w:rFonts w:ascii="Arial" w:eastAsia="Times New Roman" w:hAnsi="Arial" w:cs="Arial"/>
        </w:rPr>
        <w:t xml:space="preserve">but reduced their protein-protein interaction. </w:t>
      </w:r>
      <w:r>
        <w:rPr>
          <w:rFonts w:ascii="Arial" w:eastAsia="Times New Roman" w:hAnsi="Arial" w:cs="Arial"/>
        </w:rPr>
        <w:t>Furthermore</w:t>
      </w:r>
      <w:r>
        <w:rPr>
          <w:rFonts w:ascii="Arial" w:eastAsia="Times New Roman" w:hAnsi="Arial" w:cs="Arial"/>
        </w:rPr>
        <w:t xml:space="preserve">, the presence of parkin V380L </w:t>
      </w:r>
      <w:r>
        <w:rPr>
          <w:rFonts w:ascii="Arial" w:eastAsia="Times New Roman" w:hAnsi="Arial" w:cs="Arial"/>
        </w:rPr>
        <w:t xml:space="preserve">disrupted mitophagy, compromising </w:t>
      </w:r>
      <w:r>
        <w:rPr>
          <w:rFonts w:ascii="Arial" w:eastAsia="Times New Roman" w:hAnsi="Arial" w:cs="Arial"/>
        </w:rPr>
        <w:t>cell viability.</w:t>
      </w:r>
    </w:p>
    <w:p>
      <w:pPr>
        <w:spacing w:after="120" w:line="28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Conclusions: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</w:t>
      </w:r>
      <w:r>
        <w:rPr>
          <w:rFonts w:ascii="Arial" w:eastAsia="Times New Roman" w:hAnsi="Arial" w:cs="Arial"/>
        </w:rPr>
        <w:t xml:space="preserve"> V380L variant in parkin </w:t>
      </w:r>
      <w:r>
        <w:rPr>
          <w:rFonts w:ascii="Arial" w:eastAsia="Times New Roman" w:hAnsi="Arial" w:cs="Arial"/>
        </w:rPr>
        <w:t>acts as</w:t>
      </w:r>
      <w:r>
        <w:rPr>
          <w:rFonts w:ascii="Arial" w:eastAsia="Times New Roman" w:hAnsi="Arial" w:cs="Arial"/>
        </w:rPr>
        <w:t xml:space="preserve"> both a modulator of parkin function and a genetic modifier of MJD, negative</w:t>
      </w:r>
      <w:r>
        <w:rPr>
          <w:rFonts w:ascii="Arial" w:eastAsia="Times New Roman" w:hAnsi="Arial" w:cs="Arial"/>
        </w:rPr>
        <w:t>ly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influencing</w:t>
      </w:r>
      <w:r>
        <w:rPr>
          <w:rFonts w:ascii="Arial" w:eastAsia="Times New Roman" w:hAnsi="Arial" w:cs="Arial"/>
        </w:rPr>
        <w:t xml:space="preserve"> its molecular pathogenesis and </w:t>
      </w:r>
      <w:r>
        <w:rPr>
          <w:rFonts w:ascii="Arial" w:eastAsia="Times New Roman" w:hAnsi="Arial" w:cs="Arial"/>
        </w:rPr>
        <w:t xml:space="preserve">accelerating the </w:t>
      </w:r>
      <w:r>
        <w:rPr>
          <w:rFonts w:ascii="Arial" w:eastAsia="Times New Roman" w:hAnsi="Arial" w:cs="Arial"/>
        </w:rPr>
        <w:t>age at onset of the disease.</w:t>
      </w:r>
    </w:p>
    <w:p>
      <w:pPr>
        <w:tabs>
          <w:tab w:val="left" w:pos="567"/>
        </w:tabs>
        <w:spacing w:after="120" w:line="280" w:lineRule="atLeast"/>
        <w:rPr>
          <w:rFonts w:ascii="Arial" w:hAnsi="Arial" w:cs="Arial"/>
          <w:lang w:val="en-AU"/>
        </w:rPr>
      </w:pPr>
    </w:p>
    <w:p>
      <w:pPr>
        <w:tabs>
          <w:tab w:val="left" w:pos="567"/>
        </w:tabs>
        <w:spacing w:after="120" w:line="280" w:lineRule="atLeast"/>
        <w:rPr>
          <w:rFonts w:ascii="Arial" w:hAnsi="Arial" w:cs="Arial"/>
          <w:lang w:val="en-AU"/>
        </w:rPr>
      </w:pPr>
    </w:p>
    <w:p>
      <w:pPr>
        <w:tabs>
          <w:tab w:val="left" w:pos="567"/>
        </w:tabs>
        <w:spacing w:after="120" w:line="280" w:lineRule="atLeast"/>
        <w:jc w:val="both"/>
        <w:rPr>
          <w:rFonts w:ascii="Arial" w:hAnsi="Arial" w:cs="Arial"/>
          <w:b/>
          <w:i/>
          <w:lang w:val="en-AU"/>
        </w:rPr>
      </w:pPr>
      <w:r>
        <w:rPr>
          <w:rFonts w:ascii="Arial" w:hAnsi="Arial" w:cs="Arial"/>
          <w:b/>
          <w:i/>
          <w:lang w:val="en-AU"/>
        </w:rPr>
        <w:t>Comment:</w:t>
      </w:r>
    </w:p>
    <w:p>
      <w:pPr>
        <w:tabs>
          <w:tab w:val="left" w:pos="567"/>
        </w:tabs>
        <w:spacing w:after="120" w:line="280" w:lineRule="atLeast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This work has recently been published in </w:t>
      </w:r>
      <w:r>
        <w:rPr>
          <w:rFonts w:ascii="Arial" w:hAnsi="Arial" w:cs="Arial"/>
          <w:i/>
          <w:lang w:val="en-AU"/>
        </w:rPr>
        <w:t xml:space="preserve">Acta </w:t>
      </w:r>
      <w:proofErr w:type="spellStart"/>
      <w:r>
        <w:rPr>
          <w:rFonts w:ascii="Arial" w:hAnsi="Arial" w:cs="Arial"/>
          <w:i/>
          <w:lang w:val="en-AU"/>
        </w:rPr>
        <w:t>Neuropathologica</w:t>
      </w:r>
      <w:proofErr w:type="spellEnd"/>
      <w:r>
        <w:rPr>
          <w:rFonts w:ascii="Arial" w:hAnsi="Arial" w:cs="Arial"/>
          <w:lang w:val="en-AU"/>
        </w:rPr>
        <w:t>:</w:t>
      </w:r>
    </w:p>
    <w:p>
      <w:pPr>
        <w:tabs>
          <w:tab w:val="left" w:pos="567"/>
        </w:tabs>
        <w:spacing w:after="120" w:line="280" w:lineRule="atLeast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de-DE"/>
        </w:rPr>
        <w:t xml:space="preserve">Weber, J.J., Czisch, L., Pereira Sena, P. </w:t>
      </w:r>
      <w:r>
        <w:rPr>
          <w:rFonts w:ascii="Arial" w:hAnsi="Arial" w:cs="Arial"/>
          <w:i/>
          <w:iCs/>
          <w:lang w:val="de-DE"/>
        </w:rPr>
        <w:t>et al.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 xml:space="preserve">The parkin V380L variant is a genetic modifier of Machado–Joseph disease with impact on mitophagy. </w:t>
      </w:r>
      <w:r>
        <w:rPr>
          <w:rFonts w:ascii="Arial" w:hAnsi="Arial" w:cs="Arial"/>
          <w:i/>
          <w:iCs/>
        </w:rPr>
        <w:t xml:space="preserve">Acta </w:t>
      </w:r>
      <w:proofErr w:type="spellStart"/>
      <w:r>
        <w:rPr>
          <w:rFonts w:ascii="Arial" w:hAnsi="Arial" w:cs="Arial"/>
          <w:i/>
          <w:iCs/>
        </w:rPr>
        <w:t>Neuropathol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148</w:t>
      </w:r>
      <w:r>
        <w:rPr>
          <w:rFonts w:ascii="Arial" w:hAnsi="Arial" w:cs="Arial"/>
        </w:rPr>
        <w:t>, 14 (2024). https://doi.org/10.1007/s00401-024-02762-6</w:t>
      </w:r>
    </w:p>
    <w:sectPr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berschrift2">
    <w:name w:val="heading 2"/>
    <w:basedOn w:val="Standard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berschrift4">
    <w:name w:val="heading 4"/>
    <w:basedOn w:val="berschrift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WAKeyword">
    <w:name w:val="(IWA) Keyword"/>
    <w:basedOn w:val="Standard"/>
    <w:next w:val="berschrift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Standard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Standard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Standard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Textkrper-Erstzeileneinzug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Standard"/>
    <w:next w:val="Standard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Standard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uzeile">
    <w:name w:val="footer"/>
    <w:basedOn w:val="Standard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Standardeinzug">
    <w:name w:val="Normal Indent"/>
    <w:basedOn w:val="Standard"/>
    <w:pPr>
      <w:ind w:left="720"/>
    </w:pPr>
  </w:style>
  <w:style w:type="paragraph" w:customStyle="1" w:styleId="IWAFigureTableLegend">
    <w:name w:val="(IWA) Figure/Table Legend"/>
    <w:basedOn w:val="Standard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Standard"/>
    <w:rPr>
      <w:rFonts w:ascii="Arial" w:hAnsi="Arial" w:cs="Arial"/>
      <w:b/>
      <w:bCs/>
    </w:rPr>
  </w:style>
  <w:style w:type="paragraph" w:customStyle="1" w:styleId="IWASub-heading">
    <w:name w:val="(IWA) Sub-heading"/>
    <w:basedOn w:val="Standardeinzug"/>
    <w:rPr>
      <w:rFonts w:ascii="Arial" w:hAnsi="Arial" w:cs="Arial"/>
      <w:b/>
      <w:bCs/>
      <w:sz w:val="22"/>
      <w:szCs w:val="22"/>
    </w:rPr>
  </w:style>
  <w:style w:type="paragraph" w:styleId="Textkrper">
    <w:name w:val="Body Text"/>
    <w:basedOn w:val="Standard"/>
    <w:pPr>
      <w:spacing w:after="120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customStyle="1" w:styleId="ListNumber1">
    <w:name w:val="List Number1"/>
    <w:basedOn w:val="Aufzhlungszeichen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Aufzhlungszeichen">
    <w:name w:val="List Bullet"/>
    <w:basedOn w:val="Standard"/>
    <w:autoRedefine/>
    <w:pPr>
      <w:ind w:left="648" w:hanging="360"/>
    </w:pPr>
  </w:style>
  <w:style w:type="paragraph" w:customStyle="1" w:styleId="Heading3a">
    <w:name w:val="Heading 3a"/>
    <w:basedOn w:val="berschrift3"/>
    <w:next w:val="Standard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Standard"/>
    <w:next w:val="Standard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Standar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Standard"/>
    <w:link w:val="IWATableFigureheadingZchn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  <w:lang w:val="en-GB" w:eastAsia="en-US"/>
    </w:rPr>
  </w:style>
  <w:style w:type="character" w:styleId="Hyperlink">
    <w:name w:val="Hyperlink"/>
    <w:basedOn w:val="Absatz-Standardschriftart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2353F-32DE-4E5C-809C-DAA98399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Dr. Jonasz J. Weber</cp:lastModifiedBy>
  <cp:revision>8</cp:revision>
  <dcterms:created xsi:type="dcterms:W3CDTF">2025-01-10T10:29:00Z</dcterms:created>
  <dcterms:modified xsi:type="dcterms:W3CDTF">2025-01-10T12:18:00Z</dcterms:modified>
</cp:coreProperties>
</file>