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8CBF5" w14:textId="3D1A516C" w:rsidR="00D165DB" w:rsidRPr="00D165DB" w:rsidRDefault="00D165DB" w:rsidP="00D165DB">
      <w:pPr>
        <w:rPr>
          <w:rFonts w:ascii="Arial" w:hAnsi="Arial" w:cs="Arial"/>
          <w:b/>
          <w:bCs/>
        </w:rPr>
      </w:pPr>
      <w:r w:rsidRPr="00D165DB">
        <w:rPr>
          <w:rFonts w:ascii="Arial" w:hAnsi="Arial" w:cs="Arial"/>
          <w:b/>
          <w:bCs/>
        </w:rPr>
        <w:t>Daily Living</w:t>
      </w:r>
      <w:r>
        <w:rPr>
          <w:rFonts w:ascii="Arial" w:hAnsi="Arial" w:cs="Arial"/>
          <w:b/>
          <w:bCs/>
        </w:rPr>
        <w:t xml:space="preserve"> Alterations in</w:t>
      </w:r>
      <w:r w:rsidRPr="00D165DB">
        <w:rPr>
          <w:rFonts w:ascii="Arial" w:hAnsi="Arial" w:cs="Arial"/>
          <w:b/>
          <w:bCs/>
        </w:rPr>
        <w:t xml:space="preserve"> Gait and Mobility among SCA3</w:t>
      </w:r>
      <w:r>
        <w:rPr>
          <w:rFonts w:ascii="Arial" w:hAnsi="Arial" w:cs="Arial"/>
          <w:b/>
          <w:bCs/>
        </w:rPr>
        <w:t xml:space="preserve"> population</w:t>
      </w:r>
      <w:r w:rsidRPr="00D165DB">
        <w:rPr>
          <w:rFonts w:ascii="Arial" w:hAnsi="Arial" w:cs="Arial"/>
          <w:b/>
          <w:bCs/>
        </w:rPr>
        <w:t>:  Exploratory Study</w:t>
      </w:r>
    </w:p>
    <w:p w14:paraId="5281460C" w14:textId="484EC5A0" w:rsidR="005922AD" w:rsidRPr="00207285" w:rsidRDefault="00D165DB" w:rsidP="00D165DB">
      <w:pPr>
        <w:pStyle w:val="Authornames"/>
        <w:rPr>
          <w:sz w:val="24"/>
          <w:szCs w:val="24"/>
        </w:rPr>
      </w:pPr>
      <w:r>
        <w:rPr>
          <w:i/>
          <w:iCs/>
          <w:sz w:val="24"/>
          <w:szCs w:val="24"/>
          <w:lang w:val="en-US"/>
        </w:rPr>
        <w:t>P</w:t>
      </w:r>
      <w:r w:rsidRPr="00D165DB">
        <w:rPr>
          <w:i/>
          <w:iCs/>
          <w:sz w:val="24"/>
          <w:szCs w:val="24"/>
          <w:lang w:val="en-US"/>
        </w:rPr>
        <w:t>. Ponger</w:t>
      </w:r>
      <w:r>
        <w:rPr>
          <w:i/>
          <w:iCs/>
          <w:sz w:val="24"/>
          <w:szCs w:val="24"/>
          <w:lang w:val="en-US"/>
        </w:rPr>
        <w:t>,</w:t>
      </w:r>
      <w:r w:rsidRPr="00D165DB">
        <w:rPr>
          <w:i/>
          <w:iCs/>
          <w:sz w:val="24"/>
          <w:szCs w:val="24"/>
          <w:vertAlign w:val="superscript"/>
          <w:lang w:val="en-US"/>
        </w:rPr>
        <w:t>1,2</w:t>
      </w:r>
      <w:r w:rsidRPr="00D165DB">
        <w:rPr>
          <w:i/>
          <w:iCs/>
          <w:sz w:val="24"/>
          <w:szCs w:val="24"/>
          <w:lang w:val="en-US"/>
        </w:rPr>
        <w:t>A. Solomon</w:t>
      </w:r>
      <w:r w:rsidRPr="00D165DB">
        <w:rPr>
          <w:i/>
          <w:iCs/>
          <w:sz w:val="24"/>
          <w:szCs w:val="24"/>
          <w:vertAlign w:val="superscript"/>
          <w:lang w:val="en-US"/>
        </w:rPr>
        <w:t>3</w:t>
      </w:r>
      <w:r w:rsidR="00C53E81">
        <w:rPr>
          <w:i/>
          <w:iCs/>
          <w:sz w:val="24"/>
          <w:szCs w:val="24"/>
          <w:vertAlign w:val="superscript"/>
          <w:lang w:val="en-US"/>
        </w:rPr>
        <w:t>,4</w:t>
      </w:r>
      <w:r w:rsidRPr="00D165DB">
        <w:rPr>
          <w:i/>
          <w:iCs/>
          <w:sz w:val="24"/>
          <w:szCs w:val="24"/>
          <w:lang w:val="en-US"/>
        </w:rPr>
        <w:t>M. Brozgol</w:t>
      </w:r>
      <w:r>
        <w:rPr>
          <w:i/>
          <w:iCs/>
          <w:sz w:val="24"/>
          <w:szCs w:val="24"/>
          <w:lang w:val="en-US"/>
        </w:rPr>
        <w:t xml:space="preserve">, </w:t>
      </w:r>
      <w:r w:rsidR="00C53E81" w:rsidRPr="00D165DB">
        <w:rPr>
          <w:i/>
          <w:iCs/>
          <w:sz w:val="24"/>
          <w:szCs w:val="24"/>
          <w:vertAlign w:val="superscript"/>
          <w:lang w:val="en-US"/>
        </w:rPr>
        <w:t>3</w:t>
      </w:r>
      <w:r w:rsidR="00C53E81">
        <w:rPr>
          <w:i/>
          <w:iCs/>
          <w:sz w:val="24"/>
          <w:szCs w:val="24"/>
          <w:vertAlign w:val="superscript"/>
          <w:lang w:val="en-US"/>
        </w:rPr>
        <w:t>,4</w:t>
      </w:r>
      <w:r>
        <w:rPr>
          <w:i/>
          <w:iCs/>
          <w:sz w:val="24"/>
          <w:szCs w:val="24"/>
          <w:lang w:val="en-US"/>
        </w:rPr>
        <w:t>E.</w:t>
      </w:r>
      <w:r w:rsidRPr="00D165DB">
        <w:rPr>
          <w:i/>
          <w:iCs/>
          <w:sz w:val="24"/>
          <w:szCs w:val="24"/>
          <w:lang w:val="en-US"/>
        </w:rPr>
        <w:t xml:space="preserve"> Gazit</w:t>
      </w:r>
      <w:r>
        <w:rPr>
          <w:i/>
          <w:iCs/>
          <w:sz w:val="24"/>
          <w:szCs w:val="24"/>
          <w:lang w:val="en-US"/>
        </w:rPr>
        <w:t>,</w:t>
      </w:r>
      <w:r w:rsidR="00C53E81" w:rsidRPr="00C53E81">
        <w:rPr>
          <w:i/>
          <w:iCs/>
          <w:sz w:val="24"/>
          <w:szCs w:val="24"/>
          <w:vertAlign w:val="superscript"/>
          <w:lang w:val="en-US"/>
        </w:rPr>
        <w:t xml:space="preserve"> </w:t>
      </w:r>
      <w:r w:rsidR="00C53E81" w:rsidRPr="00D165DB">
        <w:rPr>
          <w:i/>
          <w:iCs/>
          <w:sz w:val="24"/>
          <w:szCs w:val="24"/>
          <w:vertAlign w:val="superscript"/>
          <w:lang w:val="en-US"/>
        </w:rPr>
        <w:t>3</w:t>
      </w:r>
      <w:r w:rsidR="00C53E81">
        <w:rPr>
          <w:i/>
          <w:iCs/>
          <w:sz w:val="24"/>
          <w:szCs w:val="24"/>
          <w:vertAlign w:val="superscript"/>
          <w:lang w:val="en-US"/>
        </w:rPr>
        <w:t>,4</w:t>
      </w:r>
      <w:r w:rsidR="00C53E81">
        <w:rPr>
          <w:i/>
          <w:iCs/>
          <w:sz w:val="24"/>
          <w:szCs w:val="24"/>
          <w:lang w:val="en-US"/>
        </w:rPr>
        <w:t>J.</w:t>
      </w:r>
      <w:r w:rsidRPr="00D165DB">
        <w:rPr>
          <w:i/>
          <w:iCs/>
          <w:sz w:val="24"/>
          <w:szCs w:val="24"/>
          <w:lang w:val="en-US"/>
        </w:rPr>
        <w:t>M. Hausdorff</w:t>
      </w:r>
      <w:r w:rsidR="00C53E81" w:rsidRPr="00D165DB">
        <w:rPr>
          <w:i/>
          <w:iCs/>
          <w:sz w:val="24"/>
          <w:szCs w:val="24"/>
          <w:vertAlign w:val="superscript"/>
          <w:lang w:val="en-US"/>
        </w:rPr>
        <w:t>3</w:t>
      </w:r>
      <w:r w:rsidR="00C53E81">
        <w:rPr>
          <w:i/>
          <w:iCs/>
          <w:sz w:val="24"/>
          <w:szCs w:val="24"/>
          <w:vertAlign w:val="superscript"/>
          <w:lang w:val="en-US"/>
        </w:rPr>
        <w:t>,</w:t>
      </w:r>
      <w:r w:rsidR="00C53E81">
        <w:rPr>
          <w:i/>
          <w:iCs/>
          <w:sz w:val="24"/>
          <w:szCs w:val="24"/>
          <w:vertAlign w:val="superscript"/>
          <w:lang w:val="en-US"/>
        </w:rPr>
        <w:t>4,5</w:t>
      </w:r>
    </w:p>
    <w:p w14:paraId="6A498631" w14:textId="22239755" w:rsidR="00432CD2" w:rsidRPr="00432CD2" w:rsidRDefault="00D165DB" w:rsidP="00432CD2">
      <w:pPr>
        <w:pStyle w:val="IWAAuthoraddress"/>
        <w:jc w:val="left"/>
        <w:rPr>
          <w:lang w:val="en-US"/>
        </w:rPr>
      </w:pPr>
      <w:r>
        <w:rPr>
          <w:lang w:val="en-US"/>
        </w:rPr>
        <w:t xml:space="preserve">1. </w:t>
      </w:r>
      <w:r w:rsidRPr="00D165DB">
        <w:rPr>
          <w:lang w:val="en-US"/>
        </w:rPr>
        <w:t>Movement Disorders Unit, Department of Neurology, Tel-Aviv Sourasky Medical Center, Tel Aviv, Israel</w:t>
      </w:r>
    </w:p>
    <w:p w14:paraId="78D4A32C" w14:textId="3A769E58" w:rsidR="00432CD2" w:rsidRDefault="00D165DB" w:rsidP="00D165DB">
      <w:pPr>
        <w:pStyle w:val="IWAAuthoraddress"/>
        <w:jc w:val="left"/>
        <w:rPr>
          <w:lang w:val="en-US"/>
        </w:rPr>
      </w:pPr>
      <w:r>
        <w:rPr>
          <w:lang w:val="en-US"/>
        </w:rPr>
        <w:t xml:space="preserve">2. </w:t>
      </w:r>
      <w:r w:rsidR="00432CD2" w:rsidRPr="000C12FD">
        <w:rPr>
          <w:lang w:val="en-US"/>
        </w:rPr>
        <w:t>Genetics Institute and Genomics Center, Tel Aviv Sourasky Medical Center, Tel Aviv, Israel.</w:t>
      </w:r>
    </w:p>
    <w:p w14:paraId="2608FBE3" w14:textId="6D730017" w:rsidR="00D165DB" w:rsidRPr="00D165DB" w:rsidRDefault="00432CD2" w:rsidP="00D165DB">
      <w:pPr>
        <w:pStyle w:val="IWAAuthoraddress"/>
        <w:jc w:val="left"/>
        <w:rPr>
          <w:lang w:val="en-IL"/>
        </w:rPr>
      </w:pPr>
      <w:r>
        <w:rPr>
          <w:lang w:val="en-US"/>
        </w:rPr>
        <w:t xml:space="preserve">3. </w:t>
      </w:r>
      <w:r w:rsidR="00D165DB" w:rsidRPr="00D165DB">
        <w:rPr>
          <w:lang w:val="en-US"/>
        </w:rPr>
        <w:t>School of Medicine, Tel-Aviv University, Tel-Aviv, Israel</w:t>
      </w:r>
    </w:p>
    <w:p w14:paraId="41B3F64D" w14:textId="2AE4DF36" w:rsidR="00D165DB" w:rsidRDefault="00432CD2" w:rsidP="00D165DB">
      <w:pPr>
        <w:pStyle w:val="IWAAuthoraddress"/>
        <w:jc w:val="left"/>
        <w:rPr>
          <w:lang w:val="en-US"/>
        </w:rPr>
      </w:pPr>
      <w:r>
        <w:rPr>
          <w:lang w:val="en-US"/>
        </w:rPr>
        <w:t>4</w:t>
      </w:r>
      <w:r w:rsidR="00D165DB" w:rsidRPr="00D165DB">
        <w:rPr>
          <w:lang w:val="en-US"/>
        </w:rPr>
        <w:t>. Center for the Study of Movement, Cognition and Mobility, Neurological Institute, Tel Aviv Sourasky Medical Center, Tel Aviv Israel</w:t>
      </w:r>
    </w:p>
    <w:p w14:paraId="7698611E" w14:textId="77777777" w:rsidR="00432CD2" w:rsidRPr="00432CD2" w:rsidRDefault="00432CD2" w:rsidP="00432CD2">
      <w:pPr>
        <w:pStyle w:val="IWAAuthoraddress"/>
        <w:jc w:val="left"/>
        <w:rPr>
          <w:lang w:val="en-US"/>
        </w:rPr>
      </w:pPr>
      <w:r>
        <w:rPr>
          <w:lang w:val="en-US"/>
        </w:rPr>
        <w:t xml:space="preserve">5. </w:t>
      </w:r>
      <w:r w:rsidRPr="00432CD2">
        <w:rPr>
          <w:lang w:val="en-US"/>
        </w:rPr>
        <w:t>Department of Orthopedic Surgery and Rush Alzheimer’s Disease Center, Rush University Medical Center,Chicago, IL, USA.</w:t>
      </w:r>
    </w:p>
    <w:p w14:paraId="3A0AEE9F" w14:textId="4ED2B73B" w:rsidR="001435CA" w:rsidRPr="00432CD2" w:rsidRDefault="001435CA" w:rsidP="00432CD2">
      <w:pPr>
        <w:pStyle w:val="IWAAuthoraddress"/>
        <w:jc w:val="left"/>
        <w:rPr>
          <w:lang w:val="en-US"/>
        </w:rPr>
      </w:pPr>
    </w:p>
    <w:p w14:paraId="50D6D719" w14:textId="5071166A" w:rsidR="001435CA" w:rsidRPr="001435CA" w:rsidRDefault="001435CA" w:rsidP="001435CA">
      <w:pPr>
        <w:rPr>
          <w:lang w:val="en-US"/>
        </w:rPr>
      </w:pPr>
    </w:p>
    <w:p w14:paraId="672A6659" w14:textId="77777777" w:rsidR="005922AD" w:rsidRPr="00D165DB" w:rsidRDefault="005922AD" w:rsidP="00D165DB">
      <w:pPr>
        <w:pStyle w:val="IWAAuthoraddress"/>
        <w:jc w:val="left"/>
        <w:rPr>
          <w:sz w:val="24"/>
          <w:szCs w:val="24"/>
          <w:lang w:val="en-IL"/>
        </w:rPr>
      </w:pPr>
    </w:p>
    <w:p w14:paraId="038AED1B" w14:textId="04BEABA5" w:rsidR="00D165DB" w:rsidRPr="00D165DB" w:rsidRDefault="00D165DB" w:rsidP="00D165DB">
      <w:pPr>
        <w:rPr>
          <w:rFonts w:ascii="Arial" w:hAnsi="Arial" w:cs="Arial"/>
          <w:b/>
          <w:bCs/>
        </w:rPr>
      </w:pPr>
      <w:r w:rsidRPr="00D165DB">
        <w:rPr>
          <w:rFonts w:ascii="Arial" w:hAnsi="Arial" w:cs="Arial"/>
          <w:b/>
          <w:bCs/>
        </w:rPr>
        <w:t>Objectives and relevance:</w:t>
      </w:r>
    </w:p>
    <w:p w14:paraId="03B6CA6D" w14:textId="331BFC8C" w:rsidR="00D165DB" w:rsidRPr="00D165DB" w:rsidRDefault="00D165DB" w:rsidP="00D165DB">
      <w:pPr>
        <w:rPr>
          <w:rFonts w:ascii="Arial" w:hAnsi="Arial" w:cs="Arial"/>
        </w:rPr>
      </w:pPr>
      <w:r w:rsidRPr="00D165DB">
        <w:rPr>
          <w:rFonts w:ascii="Arial" w:hAnsi="Arial" w:cs="Arial"/>
        </w:rPr>
        <w:t>Cerebellar ataxia (CA) impairs balance and gait. Previous work has begun to evaluate daily living gait, suggesting large within-bout, step-to-step variability in CA, compared to health controls (HC). In this pilot study, we aimed to examine step counts and daily living physical activity, confirm findings regarding gait variability, explore changes in nighttime mobility, and examine associations with disease severity as potential biomarkers and therapeutic candidates.</w:t>
      </w:r>
    </w:p>
    <w:p w14:paraId="1680721F" w14:textId="77777777" w:rsidR="00D165DB" w:rsidRPr="00D165DB" w:rsidRDefault="00D165DB" w:rsidP="00D165DB">
      <w:pPr>
        <w:rPr>
          <w:rFonts w:ascii="Arial" w:hAnsi="Arial" w:cs="Arial"/>
        </w:rPr>
      </w:pPr>
    </w:p>
    <w:p w14:paraId="58A6BD6B" w14:textId="77777777" w:rsidR="00D165DB" w:rsidRPr="00D165DB" w:rsidRDefault="00D165DB" w:rsidP="00D165DB">
      <w:pPr>
        <w:rPr>
          <w:rFonts w:ascii="Arial" w:hAnsi="Arial" w:cs="Arial"/>
          <w:b/>
          <w:bCs/>
        </w:rPr>
      </w:pPr>
      <w:r w:rsidRPr="00D165DB">
        <w:rPr>
          <w:rFonts w:ascii="Arial" w:hAnsi="Arial" w:cs="Arial"/>
          <w:b/>
          <w:bCs/>
        </w:rPr>
        <w:t>Methods:</w:t>
      </w:r>
    </w:p>
    <w:p w14:paraId="0FBD8784" w14:textId="77777777" w:rsidR="00D165DB" w:rsidRPr="00D165DB" w:rsidRDefault="00D165DB" w:rsidP="00D165DB">
      <w:pPr>
        <w:rPr>
          <w:rFonts w:ascii="Arial" w:hAnsi="Arial" w:cs="Arial"/>
        </w:rPr>
      </w:pPr>
      <w:r w:rsidRPr="00D165DB">
        <w:rPr>
          <w:rFonts w:ascii="Arial" w:hAnsi="Arial" w:cs="Arial"/>
        </w:rPr>
        <w:t xml:space="preserve">11 individuals with SCA3 (age: 51.1±11.7 yrs; 72% F) and 11 age and sex-matched HC (age: 51.9±12.0 yrs; 72% F) wore a 3D accelerometer on the lower back for up to 7 days. Previously established methods assessed daytime gait quality and nighttime movement and mobility. The Scale for Assessment and Rating of Ataxia (SARA, range 0-40) rated disease severity. </w:t>
      </w:r>
    </w:p>
    <w:p w14:paraId="75049E07" w14:textId="77777777" w:rsidR="00D165DB" w:rsidRPr="00D165DB" w:rsidRDefault="00D165DB" w:rsidP="00D165DB">
      <w:pPr>
        <w:rPr>
          <w:rFonts w:ascii="Arial" w:hAnsi="Arial" w:cs="Arial"/>
        </w:rPr>
      </w:pPr>
    </w:p>
    <w:p w14:paraId="4D2F72E5" w14:textId="77777777" w:rsidR="00D165DB" w:rsidRPr="00D165DB" w:rsidRDefault="00D165DB" w:rsidP="00D165DB">
      <w:pPr>
        <w:rPr>
          <w:rFonts w:ascii="Arial" w:hAnsi="Arial" w:cs="Arial"/>
          <w:b/>
          <w:bCs/>
        </w:rPr>
      </w:pPr>
      <w:r w:rsidRPr="00D165DB">
        <w:rPr>
          <w:rFonts w:ascii="Arial" w:hAnsi="Arial" w:cs="Arial"/>
          <w:b/>
          <w:bCs/>
        </w:rPr>
        <w:t xml:space="preserve">Results: </w:t>
      </w:r>
    </w:p>
    <w:p w14:paraId="30579AE0" w14:textId="77777777" w:rsidR="00D165DB" w:rsidRPr="00D165DB" w:rsidRDefault="00D165DB" w:rsidP="00D165DB">
      <w:pPr>
        <w:rPr>
          <w:rFonts w:ascii="Arial" w:hAnsi="Arial" w:cs="Arial"/>
        </w:rPr>
      </w:pPr>
      <w:r w:rsidRPr="00D165DB">
        <w:rPr>
          <w:rFonts w:ascii="Arial" w:hAnsi="Arial" w:cs="Arial"/>
        </w:rPr>
        <w:t>SARA scores ranged from 1-12 (mean: 6±3). Daily step count, total physical activity, time spent awake at night, and time spent in bed at night did not differ in CA and HC. In unadjusted analyses, CA had fewer long (&gt;120 sec) walking bouts (HC: 6.6±4.1; CA: 2.3±2.4; p=0.007) and higher measures of step-to-step variability (see figure). CA also had fewer and slower axial rotations of the trunk during the night (presumably during sleep). It took CA about 3x longer to transition from lying position to walking at night and longer to transition from sitting to standing during the day. Measures of gait variability and transition times were correlated with SARA scores (Spearman’s rho: 0.66-0.81, p&lt;0.05).</w:t>
      </w:r>
    </w:p>
    <w:p w14:paraId="2BDD5B7E" w14:textId="77777777" w:rsidR="00D165DB" w:rsidRPr="00D165DB" w:rsidRDefault="00D165DB" w:rsidP="00D165DB">
      <w:pPr>
        <w:rPr>
          <w:rFonts w:ascii="Arial" w:hAnsi="Arial" w:cs="Arial"/>
        </w:rPr>
      </w:pPr>
    </w:p>
    <w:p w14:paraId="660BBBA0" w14:textId="77777777" w:rsidR="00D165DB" w:rsidRPr="00D165DB" w:rsidRDefault="00D165DB" w:rsidP="00D165DB">
      <w:pPr>
        <w:rPr>
          <w:rFonts w:ascii="Arial" w:hAnsi="Arial" w:cs="Arial"/>
          <w:b/>
          <w:bCs/>
        </w:rPr>
      </w:pPr>
      <w:r w:rsidRPr="00D165DB">
        <w:rPr>
          <w:rFonts w:ascii="Arial" w:hAnsi="Arial" w:cs="Arial"/>
          <w:b/>
          <w:bCs/>
        </w:rPr>
        <w:lastRenderedPageBreak/>
        <w:t>Conclusions:</w:t>
      </w:r>
    </w:p>
    <w:p w14:paraId="6B29D492" w14:textId="77777777" w:rsidR="00D165DB" w:rsidRPr="00D165DB" w:rsidRDefault="00D165DB" w:rsidP="00D165DB">
      <w:pPr>
        <w:rPr>
          <w:rFonts w:ascii="Arial" w:hAnsi="Arial" w:cs="Arial"/>
        </w:rPr>
      </w:pPr>
      <w:r w:rsidRPr="00D165DB">
        <w:rPr>
          <w:rFonts w:ascii="Arial" w:hAnsi="Arial" w:cs="Arial"/>
        </w:rPr>
        <w:t xml:space="preserve">These pilot results suggest that overall physical activity, walking time, and sleep time are similar in CA and HC.  In contrast, several aspects of the quality of daily living movement and mobility appear to be markedly altered in CA, during day and night, including during sleep. For example, a high degree of step-to-step variability was observed in CA. These initial findings can be used to guide larger studies and to inform bio-marker and intervention research. </w:t>
      </w:r>
    </w:p>
    <w:p w14:paraId="0D0B940D" w14:textId="04F7F10D" w:rsidR="005922AD" w:rsidRPr="00207285" w:rsidRDefault="005922AD" w:rsidP="00284526">
      <w:pPr>
        <w:pStyle w:val="NormalWeb"/>
        <w:spacing w:before="0" w:beforeAutospacing="0" w:after="120" w:afterAutospacing="0" w:line="280" w:lineRule="atLeast"/>
        <w:rPr>
          <w:rFonts w:ascii="Arial" w:hAnsi="Arial" w:cs="Arial"/>
          <w:lang w:eastAsia="en-US"/>
        </w:rPr>
      </w:pPr>
    </w:p>
    <w:sectPr w:rsidR="005922AD" w:rsidRPr="00207285" w:rsidSect="00F27F9D">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C1A21" w14:textId="77777777" w:rsidR="001D4601" w:rsidRDefault="001D4601" w:rsidP="004C4141">
      <w:r>
        <w:separator/>
      </w:r>
    </w:p>
  </w:endnote>
  <w:endnote w:type="continuationSeparator" w:id="0">
    <w:p w14:paraId="799084A8" w14:textId="77777777" w:rsidR="001D4601" w:rsidRDefault="001D4601"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D4B88" w14:textId="77777777" w:rsidR="001D4601" w:rsidRDefault="001D4601" w:rsidP="004C4141">
      <w:r>
        <w:separator/>
      </w:r>
    </w:p>
  </w:footnote>
  <w:footnote w:type="continuationSeparator" w:id="0">
    <w:p w14:paraId="2F60D3D7" w14:textId="77777777" w:rsidR="001D4601" w:rsidRDefault="001D4601"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52873"/>
    <w:multiLevelType w:val="hybridMultilevel"/>
    <w:tmpl w:val="D88CF08C"/>
    <w:lvl w:ilvl="0" w:tplc="DDBC28F0">
      <w:start w:val="1"/>
      <w:numFmt w:val="decimal"/>
      <w:lvlText w:val="%1."/>
      <w:lvlJc w:val="left"/>
      <w:pPr>
        <w:tabs>
          <w:tab w:val="num" w:pos="720"/>
        </w:tabs>
        <w:ind w:left="720" w:hanging="360"/>
      </w:pPr>
    </w:lvl>
    <w:lvl w:ilvl="1" w:tplc="FBB285A4" w:tentative="1">
      <w:start w:val="1"/>
      <w:numFmt w:val="decimal"/>
      <w:lvlText w:val="%2."/>
      <w:lvlJc w:val="left"/>
      <w:pPr>
        <w:tabs>
          <w:tab w:val="num" w:pos="1440"/>
        </w:tabs>
        <w:ind w:left="1440" w:hanging="360"/>
      </w:pPr>
    </w:lvl>
    <w:lvl w:ilvl="2" w:tplc="8132DBA8" w:tentative="1">
      <w:start w:val="1"/>
      <w:numFmt w:val="decimal"/>
      <w:lvlText w:val="%3."/>
      <w:lvlJc w:val="left"/>
      <w:pPr>
        <w:tabs>
          <w:tab w:val="num" w:pos="2160"/>
        </w:tabs>
        <w:ind w:left="2160" w:hanging="360"/>
      </w:pPr>
    </w:lvl>
    <w:lvl w:ilvl="3" w:tplc="3962F756" w:tentative="1">
      <w:start w:val="1"/>
      <w:numFmt w:val="decimal"/>
      <w:lvlText w:val="%4."/>
      <w:lvlJc w:val="left"/>
      <w:pPr>
        <w:tabs>
          <w:tab w:val="num" w:pos="2880"/>
        </w:tabs>
        <w:ind w:left="2880" w:hanging="360"/>
      </w:pPr>
    </w:lvl>
    <w:lvl w:ilvl="4" w:tplc="56E89C0E" w:tentative="1">
      <w:start w:val="1"/>
      <w:numFmt w:val="decimal"/>
      <w:lvlText w:val="%5."/>
      <w:lvlJc w:val="left"/>
      <w:pPr>
        <w:tabs>
          <w:tab w:val="num" w:pos="3600"/>
        </w:tabs>
        <w:ind w:left="3600" w:hanging="360"/>
      </w:pPr>
    </w:lvl>
    <w:lvl w:ilvl="5" w:tplc="41269B36" w:tentative="1">
      <w:start w:val="1"/>
      <w:numFmt w:val="decimal"/>
      <w:lvlText w:val="%6."/>
      <w:lvlJc w:val="left"/>
      <w:pPr>
        <w:tabs>
          <w:tab w:val="num" w:pos="4320"/>
        </w:tabs>
        <w:ind w:left="4320" w:hanging="360"/>
      </w:pPr>
    </w:lvl>
    <w:lvl w:ilvl="6" w:tplc="E570A3A6" w:tentative="1">
      <w:start w:val="1"/>
      <w:numFmt w:val="decimal"/>
      <w:lvlText w:val="%7."/>
      <w:lvlJc w:val="left"/>
      <w:pPr>
        <w:tabs>
          <w:tab w:val="num" w:pos="5040"/>
        </w:tabs>
        <w:ind w:left="5040" w:hanging="360"/>
      </w:pPr>
    </w:lvl>
    <w:lvl w:ilvl="7" w:tplc="B272352A" w:tentative="1">
      <w:start w:val="1"/>
      <w:numFmt w:val="decimal"/>
      <w:lvlText w:val="%8."/>
      <w:lvlJc w:val="left"/>
      <w:pPr>
        <w:tabs>
          <w:tab w:val="num" w:pos="5760"/>
        </w:tabs>
        <w:ind w:left="5760" w:hanging="360"/>
      </w:pPr>
    </w:lvl>
    <w:lvl w:ilvl="8" w:tplc="DFC89C8C" w:tentative="1">
      <w:start w:val="1"/>
      <w:numFmt w:val="decimal"/>
      <w:lvlText w:val="%9."/>
      <w:lvlJc w:val="left"/>
      <w:pPr>
        <w:tabs>
          <w:tab w:val="num" w:pos="6480"/>
        </w:tabs>
        <w:ind w:left="6480" w:hanging="360"/>
      </w:pPr>
    </w:lvl>
  </w:abstractNum>
  <w:abstractNum w:abstractNumId="3"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7A5DAE"/>
    <w:multiLevelType w:val="hybridMultilevel"/>
    <w:tmpl w:val="CDD0414E"/>
    <w:lvl w:ilvl="0" w:tplc="2000000F">
      <w:start w:val="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2684271">
    <w:abstractNumId w:val="2"/>
  </w:num>
  <w:num w:numId="8" w16cid:durableId="1498425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34E58"/>
    <w:rsid w:val="00047A06"/>
    <w:rsid w:val="000749DC"/>
    <w:rsid w:val="000B1A9F"/>
    <w:rsid w:val="000B1CB6"/>
    <w:rsid w:val="000C12FD"/>
    <w:rsid w:val="00104C64"/>
    <w:rsid w:val="001435CA"/>
    <w:rsid w:val="00153B31"/>
    <w:rsid w:val="001A5D1D"/>
    <w:rsid w:val="001C48EA"/>
    <w:rsid w:val="001D4601"/>
    <w:rsid w:val="001E69F5"/>
    <w:rsid w:val="001F0A40"/>
    <w:rsid w:val="001F3F9D"/>
    <w:rsid w:val="00207285"/>
    <w:rsid w:val="00245841"/>
    <w:rsid w:val="002464D1"/>
    <w:rsid w:val="00284526"/>
    <w:rsid w:val="00296641"/>
    <w:rsid w:val="002D7855"/>
    <w:rsid w:val="00326102"/>
    <w:rsid w:val="00361FCC"/>
    <w:rsid w:val="0039255A"/>
    <w:rsid w:val="0039260D"/>
    <w:rsid w:val="00394433"/>
    <w:rsid w:val="003A501D"/>
    <w:rsid w:val="003C6921"/>
    <w:rsid w:val="00414A23"/>
    <w:rsid w:val="00432CD2"/>
    <w:rsid w:val="00446818"/>
    <w:rsid w:val="004C4141"/>
    <w:rsid w:val="004E2843"/>
    <w:rsid w:val="005922AD"/>
    <w:rsid w:val="005E76FD"/>
    <w:rsid w:val="006125DC"/>
    <w:rsid w:val="00624BE3"/>
    <w:rsid w:val="00643986"/>
    <w:rsid w:val="006B6FAB"/>
    <w:rsid w:val="006E361C"/>
    <w:rsid w:val="006E7A20"/>
    <w:rsid w:val="007042F7"/>
    <w:rsid w:val="007634E7"/>
    <w:rsid w:val="007B4FAF"/>
    <w:rsid w:val="008276D8"/>
    <w:rsid w:val="0083030E"/>
    <w:rsid w:val="008772F6"/>
    <w:rsid w:val="008802E5"/>
    <w:rsid w:val="00893A0F"/>
    <w:rsid w:val="008948C8"/>
    <w:rsid w:val="008D6431"/>
    <w:rsid w:val="00927E24"/>
    <w:rsid w:val="00937D69"/>
    <w:rsid w:val="009B0B6E"/>
    <w:rsid w:val="009D2BEA"/>
    <w:rsid w:val="00AA2643"/>
    <w:rsid w:val="00B3470C"/>
    <w:rsid w:val="00BC6E2C"/>
    <w:rsid w:val="00BE3671"/>
    <w:rsid w:val="00BF0E23"/>
    <w:rsid w:val="00C01152"/>
    <w:rsid w:val="00C53E81"/>
    <w:rsid w:val="00C568B5"/>
    <w:rsid w:val="00C9235E"/>
    <w:rsid w:val="00CC6A9C"/>
    <w:rsid w:val="00CE46C7"/>
    <w:rsid w:val="00CE657D"/>
    <w:rsid w:val="00CF2AFB"/>
    <w:rsid w:val="00D13755"/>
    <w:rsid w:val="00D165DB"/>
    <w:rsid w:val="00DB5625"/>
    <w:rsid w:val="00DB5EA5"/>
    <w:rsid w:val="00DE1396"/>
    <w:rsid w:val="00E007D3"/>
    <w:rsid w:val="00E433DD"/>
    <w:rsid w:val="00F1305A"/>
    <w:rsid w:val="00F27F9D"/>
    <w:rsid w:val="00F427DF"/>
    <w:rsid w:val="00F436CF"/>
    <w:rsid w:val="00F61502"/>
    <w:rsid w:val="00F64023"/>
    <w:rsid w:val="00F7340F"/>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769544677">
      <w:bodyDiv w:val="1"/>
      <w:marLeft w:val="0"/>
      <w:marRight w:val="0"/>
      <w:marTop w:val="0"/>
      <w:marBottom w:val="0"/>
      <w:divBdr>
        <w:top w:val="none" w:sz="0" w:space="0" w:color="auto"/>
        <w:left w:val="none" w:sz="0" w:space="0" w:color="auto"/>
        <w:bottom w:val="none" w:sz="0" w:space="0" w:color="auto"/>
        <w:right w:val="none" w:sz="0" w:space="0" w:color="auto"/>
      </w:divBdr>
      <w:divsChild>
        <w:div w:id="1951473817">
          <w:marLeft w:val="850"/>
          <w:marRight w:val="0"/>
          <w:marTop w:val="0"/>
          <w:marBottom w:val="0"/>
          <w:divBdr>
            <w:top w:val="none" w:sz="0" w:space="0" w:color="auto"/>
            <w:left w:val="none" w:sz="0" w:space="0" w:color="auto"/>
            <w:bottom w:val="none" w:sz="0" w:space="0" w:color="auto"/>
            <w:right w:val="none" w:sz="0" w:space="0" w:color="auto"/>
          </w:divBdr>
        </w:div>
        <w:div w:id="2105373872">
          <w:marLeft w:val="850"/>
          <w:marRight w:val="0"/>
          <w:marTop w:val="0"/>
          <w:marBottom w:val="0"/>
          <w:divBdr>
            <w:top w:val="none" w:sz="0" w:space="0" w:color="auto"/>
            <w:left w:val="none" w:sz="0" w:space="0" w:color="auto"/>
            <w:bottom w:val="none" w:sz="0" w:space="0" w:color="auto"/>
            <w:right w:val="none" w:sz="0" w:space="0" w:color="auto"/>
          </w:divBdr>
        </w:div>
      </w:divsChild>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Sivan Frenkel</cp:lastModifiedBy>
  <cp:revision>6</cp:revision>
  <dcterms:created xsi:type="dcterms:W3CDTF">2024-11-25T21:26:00Z</dcterms:created>
  <dcterms:modified xsi:type="dcterms:W3CDTF">2024-11-26T13:18:00Z</dcterms:modified>
</cp:coreProperties>
</file>