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D9753" w14:textId="0D87CB38" w:rsidR="00C1419E" w:rsidRDefault="00C1419E" w:rsidP="00284526">
      <w:pPr>
        <w:pStyle w:val="Authornames"/>
        <w:rPr>
          <w:sz w:val="24"/>
          <w:szCs w:val="24"/>
        </w:rPr>
      </w:pPr>
      <w:r w:rsidRPr="00C1419E">
        <w:rPr>
          <w:sz w:val="24"/>
          <w:szCs w:val="24"/>
        </w:rPr>
        <w:t>Advancing Proteostasis</w:t>
      </w:r>
      <w:r w:rsidR="00A77696">
        <w:rPr>
          <w:sz w:val="24"/>
          <w:szCs w:val="24"/>
        </w:rPr>
        <w:t>-enhancing</w:t>
      </w:r>
      <w:r w:rsidRPr="00C1419E">
        <w:rPr>
          <w:sz w:val="24"/>
          <w:szCs w:val="24"/>
        </w:rPr>
        <w:t xml:space="preserve"> Therapies: A Novel Assay for Drug Discovery in </w:t>
      </w:r>
      <w:r w:rsidR="00A77696">
        <w:rPr>
          <w:sz w:val="24"/>
          <w:szCs w:val="24"/>
        </w:rPr>
        <w:t>Machado-Joseph disease</w:t>
      </w:r>
    </w:p>
    <w:p w14:paraId="57FC08FB" w14:textId="7685CA0F" w:rsidR="00C1419E" w:rsidRDefault="00C1419E" w:rsidP="00284526">
      <w:pPr>
        <w:pStyle w:val="Authornames"/>
        <w:rPr>
          <w:sz w:val="24"/>
          <w:szCs w:val="24"/>
          <w:lang w:val="pt-PT"/>
        </w:rPr>
      </w:pPr>
      <w:r w:rsidRPr="00C1419E">
        <w:rPr>
          <w:sz w:val="24"/>
          <w:szCs w:val="24"/>
          <w:lang w:val="pt-PT"/>
        </w:rPr>
        <w:t>D</w:t>
      </w:r>
      <w:r>
        <w:rPr>
          <w:sz w:val="24"/>
          <w:szCs w:val="24"/>
          <w:lang w:val="pt-PT"/>
        </w:rPr>
        <w:t xml:space="preserve">. </w:t>
      </w:r>
      <w:r w:rsidRPr="00C1419E">
        <w:rPr>
          <w:sz w:val="24"/>
          <w:szCs w:val="24"/>
          <w:lang w:val="pt-PT"/>
        </w:rPr>
        <w:t>Vilasboas-Campos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J</w:t>
      </w:r>
      <w:r>
        <w:rPr>
          <w:sz w:val="24"/>
          <w:szCs w:val="24"/>
          <w:lang w:val="pt-PT"/>
        </w:rPr>
        <w:t xml:space="preserve">. </w:t>
      </w:r>
      <w:r w:rsidRPr="00C1419E">
        <w:rPr>
          <w:sz w:val="24"/>
          <w:szCs w:val="24"/>
          <w:lang w:val="pt-PT"/>
        </w:rPr>
        <w:t>Humberto-Fernandes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 xml:space="preserve">, </w:t>
      </w:r>
      <w:r>
        <w:rPr>
          <w:sz w:val="24"/>
          <w:szCs w:val="24"/>
          <w:lang w:val="pt-PT"/>
        </w:rPr>
        <w:t>M. D.</w:t>
      </w:r>
      <w:r w:rsidRPr="00C1419E">
        <w:rPr>
          <w:sz w:val="24"/>
          <w:szCs w:val="24"/>
          <w:lang w:val="pt-PT"/>
        </w:rPr>
        <w:t xml:space="preserve"> Costa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J</w:t>
      </w:r>
      <w:r>
        <w:rPr>
          <w:sz w:val="24"/>
          <w:szCs w:val="24"/>
          <w:lang w:val="pt-PT"/>
        </w:rPr>
        <w:t xml:space="preserve">. </w:t>
      </w:r>
      <w:r w:rsidRPr="00C1419E">
        <w:rPr>
          <w:sz w:val="24"/>
          <w:szCs w:val="24"/>
          <w:lang w:val="pt-PT"/>
        </w:rPr>
        <w:t>Pereira-Sousa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J</w:t>
      </w:r>
      <w:r>
        <w:rPr>
          <w:sz w:val="24"/>
          <w:szCs w:val="24"/>
          <w:lang w:val="pt-PT"/>
        </w:rPr>
        <w:t>.</w:t>
      </w:r>
      <w:r w:rsidRPr="00C1419E">
        <w:rPr>
          <w:sz w:val="24"/>
          <w:szCs w:val="24"/>
          <w:lang w:val="pt-PT"/>
        </w:rPr>
        <w:t xml:space="preserve"> Lopes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L</w:t>
      </w:r>
      <w:r>
        <w:rPr>
          <w:sz w:val="24"/>
          <w:szCs w:val="24"/>
          <w:lang w:val="pt-PT"/>
        </w:rPr>
        <w:t>.</w:t>
      </w:r>
      <w:r w:rsidRPr="00C1419E">
        <w:rPr>
          <w:sz w:val="24"/>
          <w:szCs w:val="24"/>
          <w:lang w:val="pt-PT"/>
        </w:rPr>
        <w:t xml:space="preserve"> Costa-Meireles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B</w:t>
      </w:r>
      <w:r>
        <w:rPr>
          <w:sz w:val="24"/>
          <w:szCs w:val="24"/>
          <w:lang w:val="pt-PT"/>
        </w:rPr>
        <w:t>.</w:t>
      </w:r>
      <w:r w:rsidRPr="00C1419E">
        <w:rPr>
          <w:sz w:val="24"/>
          <w:szCs w:val="24"/>
          <w:lang w:val="pt-PT"/>
        </w:rPr>
        <w:t xml:space="preserve"> Ferreira-Lomba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J</w:t>
      </w:r>
      <w:r>
        <w:rPr>
          <w:sz w:val="24"/>
          <w:szCs w:val="24"/>
          <w:lang w:val="pt-PT"/>
        </w:rPr>
        <w:t>. D.</w:t>
      </w:r>
      <w:r w:rsidRPr="00C1419E">
        <w:rPr>
          <w:sz w:val="24"/>
          <w:szCs w:val="24"/>
          <w:lang w:val="pt-PT"/>
        </w:rPr>
        <w:t xml:space="preserve"> Da Silva</w:t>
      </w:r>
      <w:r>
        <w:rPr>
          <w:sz w:val="24"/>
          <w:szCs w:val="24"/>
          <w:lang w:val="pt-PT"/>
        </w:rPr>
        <w:t xml:space="preserve">**, </w:t>
      </w:r>
      <w:r w:rsidRPr="00C1419E">
        <w:rPr>
          <w:sz w:val="24"/>
          <w:szCs w:val="24"/>
          <w:lang w:val="pt-PT"/>
        </w:rPr>
        <w:t>F</w:t>
      </w:r>
      <w:r>
        <w:rPr>
          <w:sz w:val="24"/>
          <w:szCs w:val="24"/>
          <w:lang w:val="pt-PT"/>
        </w:rPr>
        <w:t>.</w:t>
      </w:r>
      <w:r w:rsidRPr="00C1419E">
        <w:rPr>
          <w:sz w:val="24"/>
          <w:szCs w:val="24"/>
          <w:lang w:val="pt-PT"/>
        </w:rPr>
        <w:t xml:space="preserve"> Conceição</w:t>
      </w:r>
      <w:r>
        <w:rPr>
          <w:sz w:val="24"/>
          <w:szCs w:val="24"/>
          <w:lang w:val="pt-PT"/>
        </w:rPr>
        <w:t>***</w:t>
      </w:r>
      <w:r w:rsidRPr="00C1419E">
        <w:rPr>
          <w:sz w:val="24"/>
          <w:szCs w:val="24"/>
          <w:lang w:val="pt-PT"/>
        </w:rPr>
        <w:t>, F</w:t>
      </w:r>
      <w:r>
        <w:rPr>
          <w:sz w:val="24"/>
          <w:szCs w:val="24"/>
          <w:lang w:val="pt-PT"/>
        </w:rPr>
        <w:t>.</w:t>
      </w:r>
      <w:r w:rsidRPr="00C1419E">
        <w:rPr>
          <w:sz w:val="24"/>
          <w:szCs w:val="24"/>
          <w:lang w:val="pt-PT"/>
        </w:rPr>
        <w:t xml:space="preserve"> Proença</w:t>
      </w:r>
      <w:r>
        <w:rPr>
          <w:sz w:val="24"/>
          <w:szCs w:val="24"/>
          <w:lang w:val="pt-PT"/>
        </w:rPr>
        <w:t>***</w:t>
      </w:r>
      <w:r w:rsidRPr="00C1419E">
        <w:rPr>
          <w:sz w:val="24"/>
          <w:szCs w:val="24"/>
          <w:lang w:val="pt-PT"/>
        </w:rPr>
        <w:t>, Patrícia Maciel</w:t>
      </w:r>
      <w:r>
        <w:rPr>
          <w:sz w:val="24"/>
          <w:szCs w:val="24"/>
          <w:lang w:val="pt-PT"/>
        </w:rPr>
        <w:t>**</w:t>
      </w:r>
      <w:r w:rsidRPr="00C1419E">
        <w:rPr>
          <w:sz w:val="24"/>
          <w:szCs w:val="24"/>
          <w:lang w:val="pt-PT"/>
        </w:rPr>
        <w:t>, Andreia Teixeira-Castro</w:t>
      </w:r>
      <w:r>
        <w:rPr>
          <w:sz w:val="24"/>
          <w:szCs w:val="24"/>
          <w:lang w:val="pt-PT"/>
        </w:rPr>
        <w:t>**</w:t>
      </w:r>
    </w:p>
    <w:p w14:paraId="672A6659" w14:textId="63FE1099" w:rsidR="005922AD" w:rsidRDefault="00C1419E" w:rsidP="00284526">
      <w:pPr>
        <w:pStyle w:val="IWAAuthoraddress"/>
        <w:jc w:val="left"/>
        <w:rPr>
          <w:sz w:val="24"/>
          <w:szCs w:val="24"/>
        </w:rPr>
      </w:pPr>
      <w:r>
        <w:rPr>
          <w:sz w:val="24"/>
          <w:szCs w:val="24"/>
        </w:rPr>
        <w:t>*</w:t>
      </w:r>
      <w:r w:rsidRPr="00C1419E">
        <w:rPr>
          <w:sz w:val="24"/>
          <w:szCs w:val="24"/>
        </w:rPr>
        <w:t xml:space="preserve">Life and Health Sciences Research Institute (ICVS), School of Medicine, University of Minho, Campus de Gualtar, Braga, Portugal; </w:t>
      </w:r>
      <w:r>
        <w:rPr>
          <w:sz w:val="24"/>
          <w:szCs w:val="24"/>
        </w:rPr>
        <w:t>**</w:t>
      </w:r>
      <w:r w:rsidRPr="00C1419E">
        <w:rPr>
          <w:sz w:val="24"/>
          <w:szCs w:val="24"/>
        </w:rPr>
        <w:t xml:space="preserve">ICVS/3B's - PT Government Associate Laboratory, Braga, Guimarães, Portugal. </w:t>
      </w:r>
      <w:r>
        <w:rPr>
          <w:sz w:val="24"/>
          <w:szCs w:val="24"/>
        </w:rPr>
        <w:t>***</w:t>
      </w:r>
      <w:r w:rsidRPr="00C1419E">
        <w:rPr>
          <w:sz w:val="24"/>
          <w:szCs w:val="24"/>
        </w:rPr>
        <w:t>Department of Chemistry, University of Minho, Campus de Gualtar, Braga, Portugal.</w:t>
      </w:r>
    </w:p>
    <w:p w14:paraId="4B8EF4CB" w14:textId="77777777" w:rsidR="00C1419E" w:rsidRPr="00C1419E" w:rsidRDefault="00C1419E" w:rsidP="00C1419E"/>
    <w:p w14:paraId="0029B243" w14:textId="60FA8C0C" w:rsidR="005922AD" w:rsidRPr="00207285" w:rsidRDefault="001F3F9D" w:rsidP="00284526">
      <w:pPr>
        <w:pStyle w:val="IWAKeyword"/>
        <w:spacing w:after="120" w:line="280" w:lineRule="atLeast"/>
        <w:jc w:val="left"/>
        <w:rPr>
          <w:b/>
          <w:bCs/>
          <w:sz w:val="24"/>
          <w:szCs w:val="24"/>
        </w:rPr>
      </w:pPr>
      <w:r w:rsidRPr="00207285">
        <w:rPr>
          <w:b/>
          <w:bCs/>
          <w:sz w:val="24"/>
          <w:szCs w:val="24"/>
        </w:rPr>
        <w:t xml:space="preserve">ABSTRACT: </w:t>
      </w:r>
    </w:p>
    <w:p w14:paraId="0957C7C5" w14:textId="1C34E518" w:rsidR="00C1419E" w:rsidRPr="00C1419E" w:rsidRDefault="00C1419E" w:rsidP="00C1419E">
      <w:pPr>
        <w:spacing w:after="120" w:line="280" w:lineRule="atLeast"/>
        <w:rPr>
          <w:rFonts w:ascii="Arial" w:eastAsia="Arial Nova" w:hAnsi="Arial" w:cs="Arial"/>
          <w:color w:val="000000"/>
        </w:rPr>
      </w:pPr>
      <w:r w:rsidRPr="00C1419E">
        <w:rPr>
          <w:rFonts w:ascii="Arial" w:eastAsia="Arial Nova" w:hAnsi="Arial" w:cs="Arial"/>
          <w:b/>
          <w:bCs/>
          <w:color w:val="000000"/>
        </w:rPr>
        <w:t>Background/Objectives:</w:t>
      </w:r>
      <w:r w:rsidRPr="00C1419E">
        <w:rPr>
          <w:rFonts w:ascii="Arial" w:eastAsia="Arial Nova" w:hAnsi="Arial" w:cs="Arial"/>
          <w:color w:val="000000"/>
        </w:rPr>
        <w:t xml:space="preserve"> The accumulation of misfolded proteins into aggregates causes cellular toxicity, known as proteotoxicity, leading to long-term detrimental effects and neurodegeneration.</w:t>
      </w:r>
      <w:r>
        <w:rPr>
          <w:rFonts w:ascii="Arial" w:eastAsia="Arial Nova" w:hAnsi="Arial" w:cs="Arial"/>
          <w:color w:val="000000"/>
        </w:rPr>
        <w:t xml:space="preserve"> </w:t>
      </w:r>
      <w:r w:rsidRPr="00C1419E">
        <w:rPr>
          <w:rFonts w:ascii="Arial" w:eastAsia="Arial Nova" w:hAnsi="Arial" w:cs="Arial"/>
          <w:color w:val="000000"/>
        </w:rPr>
        <w:t xml:space="preserve">This study addresses the lack of effective therapeutic strategies for neurodegenerative diseases (NDs) associated with proteotoxicity, such as </w:t>
      </w:r>
      <w:r w:rsidR="00A77696">
        <w:rPr>
          <w:rFonts w:ascii="Arial" w:eastAsia="Arial Nova" w:hAnsi="Arial" w:cs="Arial"/>
          <w:color w:val="000000"/>
        </w:rPr>
        <w:t xml:space="preserve">Machado-Joseph disease (MJD) or </w:t>
      </w:r>
      <w:r w:rsidRPr="00C1419E">
        <w:rPr>
          <w:rFonts w:ascii="Arial" w:eastAsia="Arial Nova" w:hAnsi="Arial" w:cs="Arial"/>
          <w:color w:val="000000"/>
        </w:rPr>
        <w:t>Spinocerebellar Ataxia</w:t>
      </w:r>
      <w:r w:rsidR="00A77696">
        <w:rPr>
          <w:rFonts w:ascii="Arial" w:eastAsia="Arial Nova" w:hAnsi="Arial" w:cs="Arial"/>
          <w:color w:val="000000"/>
        </w:rPr>
        <w:t xml:space="preserve"> type 3</w:t>
      </w:r>
      <w:r w:rsidRPr="00C1419E">
        <w:rPr>
          <w:rFonts w:ascii="Arial" w:eastAsia="Arial Nova" w:hAnsi="Arial" w:cs="Arial"/>
          <w:color w:val="000000"/>
        </w:rPr>
        <w:t xml:space="preserve"> (SCA</w:t>
      </w:r>
      <w:r w:rsidR="00A77696">
        <w:rPr>
          <w:rFonts w:ascii="Arial" w:eastAsia="Arial Nova" w:hAnsi="Arial" w:cs="Arial"/>
          <w:color w:val="000000"/>
        </w:rPr>
        <w:t>3</w:t>
      </w:r>
      <w:r w:rsidRPr="00C1419E">
        <w:rPr>
          <w:rFonts w:ascii="Arial" w:eastAsia="Arial Nova" w:hAnsi="Arial" w:cs="Arial"/>
          <w:color w:val="000000"/>
        </w:rPr>
        <w:t xml:space="preserve">). We aim to identify molecules with proteostasis-enhancing activity that </w:t>
      </w:r>
      <w:r w:rsidR="00A77696">
        <w:rPr>
          <w:rFonts w:ascii="Arial" w:eastAsia="Arial Nova" w:hAnsi="Arial" w:cs="Arial"/>
          <w:color w:val="000000"/>
        </w:rPr>
        <w:t>will</w:t>
      </w:r>
      <w:r w:rsidRPr="00C1419E">
        <w:rPr>
          <w:rFonts w:ascii="Arial" w:eastAsia="Arial Nova" w:hAnsi="Arial" w:cs="Arial"/>
          <w:color w:val="000000"/>
        </w:rPr>
        <w:t xml:space="preserve"> serve as broad-spectrum neuroprotective drugs. To achieve this, we conducted a large-scale drug screening using the nematode </w:t>
      </w:r>
      <w:r w:rsidRPr="00A77696">
        <w:rPr>
          <w:rFonts w:ascii="Arial" w:eastAsia="Arial Nova" w:hAnsi="Arial" w:cs="Arial"/>
          <w:i/>
          <w:iCs/>
          <w:color w:val="000000"/>
        </w:rPr>
        <w:t>Caenorhabditis elegans</w:t>
      </w:r>
      <w:r w:rsidRPr="00C1419E">
        <w:rPr>
          <w:rFonts w:ascii="Arial" w:eastAsia="Arial Nova" w:hAnsi="Arial" w:cs="Arial"/>
          <w:color w:val="000000"/>
        </w:rPr>
        <w:t>. This allows a cost and time-efficient screening of small-molecules while providing valuable biological and pharmacological insights.</w:t>
      </w:r>
    </w:p>
    <w:p w14:paraId="079789F7" w14:textId="710E8DD2" w:rsidR="00C1419E" w:rsidRPr="00C1419E" w:rsidRDefault="00C1419E" w:rsidP="00C1419E">
      <w:pPr>
        <w:spacing w:after="120" w:line="280" w:lineRule="atLeast"/>
        <w:rPr>
          <w:rFonts w:ascii="Arial" w:eastAsia="Arial Nova" w:hAnsi="Arial" w:cs="Arial"/>
          <w:color w:val="000000"/>
        </w:rPr>
      </w:pPr>
      <w:r w:rsidRPr="00C1419E">
        <w:rPr>
          <w:rFonts w:ascii="Arial" w:eastAsia="Arial Nova" w:hAnsi="Arial" w:cs="Arial"/>
          <w:b/>
          <w:bCs/>
          <w:color w:val="000000"/>
        </w:rPr>
        <w:t>Methods:</w:t>
      </w:r>
      <w:r w:rsidRPr="00C1419E">
        <w:rPr>
          <w:rFonts w:ascii="Arial" w:eastAsia="Arial Nova" w:hAnsi="Arial" w:cs="Arial"/>
          <w:color w:val="000000"/>
        </w:rPr>
        <w:t xml:space="preserve"> We established an automated assay to screen for molecules that enhance cellular protein folding and homeostasis capacity, thereby reducing proteotoxic stress at the whole organism level. We used motor activity, a nervous system-dependent function, following a proteome-disrupting heat-shock (HS) stimulus, as a readout for this assay. Our protocol involved exposing wild-type animals to different durations of HS at 37ºC, followed by automated measurement of their motor activity</w:t>
      </w:r>
      <w:r>
        <w:rPr>
          <w:rFonts w:ascii="Arial" w:eastAsia="Arial Nova" w:hAnsi="Arial" w:cs="Arial"/>
          <w:color w:val="000000"/>
        </w:rPr>
        <w:t xml:space="preserve"> (Figure1)</w:t>
      </w:r>
      <w:r w:rsidRPr="00C1419E">
        <w:rPr>
          <w:rFonts w:ascii="Arial" w:eastAsia="Arial Nova" w:hAnsi="Arial" w:cs="Arial"/>
          <w:color w:val="000000"/>
        </w:rPr>
        <w:t xml:space="preserve">. </w:t>
      </w:r>
      <w:r w:rsidR="00A77696">
        <w:rPr>
          <w:rFonts w:ascii="Arial" w:eastAsia="Arial Nova" w:hAnsi="Arial" w:cs="Arial"/>
          <w:color w:val="000000"/>
        </w:rPr>
        <w:t xml:space="preserve">This assay was then applied to an MJD </w:t>
      </w:r>
      <w:r w:rsidR="00A77696" w:rsidRPr="00A77696">
        <w:rPr>
          <w:rFonts w:ascii="Arial" w:eastAsia="Arial Nova" w:hAnsi="Arial" w:cs="Arial"/>
          <w:i/>
          <w:iCs/>
          <w:color w:val="000000"/>
        </w:rPr>
        <w:t>C. elegans</w:t>
      </w:r>
      <w:r w:rsidR="00A77696">
        <w:rPr>
          <w:rFonts w:ascii="Arial" w:eastAsia="Arial Nova" w:hAnsi="Arial" w:cs="Arial"/>
          <w:color w:val="000000"/>
        </w:rPr>
        <w:t xml:space="preserve"> model.</w:t>
      </w:r>
    </w:p>
    <w:p w14:paraId="5B948173" w14:textId="1AF374A3" w:rsidR="00C1419E" w:rsidRPr="00C1419E" w:rsidRDefault="00C1419E" w:rsidP="00C1419E">
      <w:pPr>
        <w:spacing w:after="120" w:line="280" w:lineRule="atLeast"/>
        <w:rPr>
          <w:rFonts w:ascii="Arial" w:eastAsia="Arial Nova" w:hAnsi="Arial" w:cs="Arial"/>
          <w:color w:val="000000"/>
        </w:rPr>
      </w:pPr>
      <w:r w:rsidRPr="00C1419E">
        <w:rPr>
          <w:rFonts w:ascii="Arial" w:eastAsia="Arial Nova" w:hAnsi="Arial" w:cs="Arial"/>
          <w:b/>
          <w:bCs/>
          <w:color w:val="000000"/>
        </w:rPr>
        <w:t>Results and Discussion:</w:t>
      </w:r>
      <w:r w:rsidRPr="00C1419E">
        <w:rPr>
          <w:rFonts w:ascii="Arial" w:eastAsia="Arial Nova" w:hAnsi="Arial" w:cs="Arial"/>
          <w:color w:val="000000"/>
        </w:rPr>
        <w:t xml:space="preserve"> We found that an HS duration of 60 minutes was the most effective in allowing potential treatment effects to be detected, as it caused a significant yet recoverable loss of movement, with potential for recovery using previously known proteostasis-enhancing drugs. Using this newly established protocol, we validated the pharmacologic and genetic modulation of serotonergic signalling and mTOR inhibition as strategies that </w:t>
      </w:r>
      <w:r w:rsidRPr="00C1419E">
        <w:rPr>
          <w:rFonts w:ascii="Arial" w:eastAsia="Arial Nova" w:hAnsi="Arial" w:cs="Arial"/>
          <w:color w:val="000000"/>
        </w:rPr>
        <w:lastRenderedPageBreak/>
        <w:t>counteract HS-mediated proteotoxic damage, with activity in models of SCAs. Screening a library of approximately 400 novel compounds, predominantly containing imidazole and chromene-based structures, identified 19 hits that significantly accelerated recovery of the animals' motor activity</w:t>
      </w:r>
      <w:r w:rsidR="001B15E7">
        <w:rPr>
          <w:rFonts w:ascii="Arial" w:eastAsia="Arial Nova" w:hAnsi="Arial" w:cs="Arial"/>
          <w:color w:val="000000"/>
        </w:rPr>
        <w:t xml:space="preserve"> (Figure 2)</w:t>
      </w:r>
      <w:r w:rsidRPr="00C1419E">
        <w:rPr>
          <w:rFonts w:ascii="Arial" w:eastAsia="Arial Nova" w:hAnsi="Arial" w:cs="Arial"/>
          <w:color w:val="000000"/>
        </w:rPr>
        <w:t xml:space="preserve">. These compounds are currently undergoing further testing in models of </w:t>
      </w:r>
      <w:r w:rsidR="00A77696">
        <w:rPr>
          <w:rFonts w:ascii="Arial" w:eastAsia="Arial Nova" w:hAnsi="Arial" w:cs="Arial"/>
          <w:color w:val="000000"/>
        </w:rPr>
        <w:t>MJD</w:t>
      </w:r>
      <w:r w:rsidRPr="00C1419E">
        <w:rPr>
          <w:rFonts w:ascii="Arial" w:eastAsia="Arial Nova" w:hAnsi="Arial" w:cs="Arial"/>
          <w:color w:val="000000"/>
        </w:rPr>
        <w:t xml:space="preserve"> to evaluate their therapeutic potential</w:t>
      </w:r>
      <w:r w:rsidR="00A77696">
        <w:rPr>
          <w:rFonts w:ascii="Arial" w:eastAsia="Arial Nova" w:hAnsi="Arial" w:cs="Arial"/>
          <w:color w:val="000000"/>
        </w:rPr>
        <w:t>, with very promising results</w:t>
      </w:r>
      <w:r w:rsidRPr="00C1419E">
        <w:rPr>
          <w:rFonts w:ascii="Arial" w:eastAsia="Arial Nova" w:hAnsi="Arial" w:cs="Arial"/>
          <w:color w:val="000000"/>
        </w:rPr>
        <w:t>.</w:t>
      </w:r>
      <w:r w:rsidR="00A77696">
        <w:rPr>
          <w:rFonts w:ascii="Arial" w:eastAsia="Arial Nova" w:hAnsi="Arial" w:cs="Arial"/>
          <w:color w:val="000000"/>
        </w:rPr>
        <w:t xml:space="preserve"> </w:t>
      </w:r>
      <w:r w:rsidRPr="00C1419E">
        <w:rPr>
          <w:rFonts w:ascii="Arial" w:eastAsia="Arial Nova" w:hAnsi="Arial" w:cs="Arial"/>
          <w:color w:val="000000"/>
        </w:rPr>
        <w:t xml:space="preserve">The assay’s design offers a scalable platform for identifying molecules that counteract </w:t>
      </w:r>
      <w:r w:rsidR="00A77696">
        <w:rPr>
          <w:rFonts w:ascii="Arial" w:eastAsia="Arial Nova" w:hAnsi="Arial" w:cs="Arial"/>
          <w:color w:val="000000"/>
        </w:rPr>
        <w:t xml:space="preserve">disease-associated </w:t>
      </w:r>
      <w:r w:rsidRPr="00C1419E">
        <w:rPr>
          <w:rFonts w:ascii="Arial" w:eastAsia="Arial Nova" w:hAnsi="Arial" w:cs="Arial"/>
          <w:color w:val="000000"/>
        </w:rPr>
        <w:t>proteotoxic stress, enabling the discovery of novel therapeutic candidates.</w:t>
      </w:r>
    </w:p>
    <w:p w14:paraId="506D1C82" w14:textId="079C6BF8" w:rsidR="008D6431" w:rsidRPr="00207285" w:rsidRDefault="00C1419E" w:rsidP="00C1419E">
      <w:pPr>
        <w:spacing w:after="120" w:line="280" w:lineRule="atLeast"/>
        <w:rPr>
          <w:rFonts w:ascii="Arial" w:hAnsi="Arial" w:cs="Arial"/>
          <w:lang w:val="en-AU"/>
        </w:rPr>
      </w:pPr>
      <w:r w:rsidRPr="00C1419E">
        <w:rPr>
          <w:rFonts w:ascii="Arial" w:eastAsia="Arial Nova" w:hAnsi="Arial" w:cs="Arial"/>
          <w:b/>
          <w:bCs/>
          <w:color w:val="000000"/>
        </w:rPr>
        <w:t>Conclusion:</w:t>
      </w:r>
      <w:r w:rsidRPr="00C1419E">
        <w:rPr>
          <w:rFonts w:ascii="Arial" w:eastAsia="Arial Nova" w:hAnsi="Arial" w:cs="Arial"/>
          <w:color w:val="000000"/>
        </w:rPr>
        <w:t xml:space="preserve"> This novel assay provides a powerful tool to identify compounds capable of mitigating aging and disease-associated proteostasis deterioration. By focusing on </w:t>
      </w:r>
      <w:r w:rsidR="00A36837">
        <w:rPr>
          <w:rFonts w:ascii="Arial" w:eastAsia="Arial Nova" w:hAnsi="Arial" w:cs="Arial"/>
          <w:color w:val="000000"/>
        </w:rPr>
        <w:t>MJD</w:t>
      </w:r>
      <w:r w:rsidRPr="00C1419E">
        <w:rPr>
          <w:rFonts w:ascii="Arial" w:eastAsia="Arial Nova" w:hAnsi="Arial" w:cs="Arial"/>
          <w:color w:val="000000"/>
        </w:rPr>
        <w:t xml:space="preserve">, the study lays the groundwork for developing new drug candidates targeting a critical mechanism underlying </w:t>
      </w:r>
      <w:r w:rsidR="00A36837">
        <w:rPr>
          <w:rFonts w:ascii="Arial" w:eastAsia="Arial Nova" w:hAnsi="Arial" w:cs="Arial"/>
          <w:color w:val="000000"/>
        </w:rPr>
        <w:t>NDs</w:t>
      </w:r>
      <w:r w:rsidRPr="00C1419E">
        <w:rPr>
          <w:rFonts w:ascii="Arial" w:eastAsia="Arial Nova" w:hAnsi="Arial" w:cs="Arial"/>
          <w:color w:val="000000"/>
        </w:rPr>
        <w:t>.</w:t>
      </w:r>
      <w:r w:rsidR="008D6431" w:rsidRPr="00207285">
        <w:rPr>
          <w:rFonts w:ascii="Arial" w:hAnsi="Arial" w:cs="Arial"/>
          <w:lang w:val="en-AU"/>
        </w:rPr>
        <w:t xml:space="preserve"> </w:t>
      </w:r>
    </w:p>
    <w:p w14:paraId="2D5B76C9" w14:textId="77777777" w:rsidR="00034E58" w:rsidRPr="00207285" w:rsidRDefault="00034E58" w:rsidP="00284526">
      <w:pPr>
        <w:spacing w:after="120" w:line="280" w:lineRule="atLeast"/>
        <w:rPr>
          <w:rFonts w:ascii="Arial" w:hAnsi="Arial" w:cs="Arial"/>
        </w:rPr>
      </w:pPr>
    </w:p>
    <w:p w14:paraId="5A39BBE3" w14:textId="77777777" w:rsidR="005922AD" w:rsidRPr="00207285" w:rsidRDefault="005922AD" w:rsidP="00284526">
      <w:pPr>
        <w:rPr>
          <w:rFonts w:ascii="Arial" w:hAnsi="Arial" w:cs="Arial"/>
        </w:rPr>
      </w:pPr>
    </w:p>
    <w:p w14:paraId="3C913AAD" w14:textId="7DC6AB80" w:rsidR="005922AD" w:rsidRPr="00207285" w:rsidRDefault="005922AD" w:rsidP="00284526">
      <w:pPr>
        <w:pStyle w:val="IWAFigureTableLegend"/>
        <w:rPr>
          <w:sz w:val="24"/>
          <w:szCs w:val="24"/>
        </w:rPr>
      </w:pPr>
      <w:r w:rsidRPr="00207285">
        <w:rPr>
          <w:b/>
          <w:bCs/>
          <w:sz w:val="24"/>
          <w:szCs w:val="24"/>
        </w:rPr>
        <w:t>Figure 1.</w:t>
      </w:r>
      <w:r w:rsidRPr="00207285">
        <w:rPr>
          <w:sz w:val="24"/>
          <w:szCs w:val="24"/>
        </w:rPr>
        <w:t xml:space="preserve"> </w:t>
      </w:r>
      <w:r w:rsidR="00FC047D" w:rsidRPr="00FC047D">
        <w:rPr>
          <w:sz w:val="24"/>
          <w:szCs w:val="24"/>
        </w:rPr>
        <w:t xml:space="preserve">Conceptual principle and experimental setup of the fast-throughput phenotypic assay in </w:t>
      </w:r>
      <w:r w:rsidR="00FC047D" w:rsidRPr="00FC047D">
        <w:rPr>
          <w:i/>
          <w:iCs/>
          <w:sz w:val="24"/>
          <w:szCs w:val="24"/>
        </w:rPr>
        <w:t>C. elegans</w:t>
      </w:r>
      <w:r w:rsidR="00FC047D" w:rsidRPr="00FC047D">
        <w:rPr>
          <w:sz w:val="24"/>
          <w:szCs w:val="24"/>
        </w:rPr>
        <w:t xml:space="preserve"> for screening chemical compounds that enhance proteostasis.</w:t>
      </w:r>
    </w:p>
    <w:p w14:paraId="5348D431" w14:textId="18AC4772" w:rsidR="001B15E7" w:rsidRPr="00207285" w:rsidRDefault="001B15E7" w:rsidP="001B15E7">
      <w:pPr>
        <w:pStyle w:val="IWAFigureTableLegend"/>
        <w:rPr>
          <w:sz w:val="24"/>
          <w:szCs w:val="24"/>
        </w:rPr>
      </w:pPr>
      <w:r w:rsidRPr="00207285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2</w:t>
      </w:r>
      <w:r w:rsidRPr="00207285">
        <w:rPr>
          <w:b/>
          <w:bCs/>
          <w:sz w:val="24"/>
          <w:szCs w:val="24"/>
        </w:rPr>
        <w:t>.</w:t>
      </w:r>
      <w:r w:rsidRPr="00207285">
        <w:rPr>
          <w:sz w:val="24"/>
          <w:szCs w:val="24"/>
        </w:rPr>
        <w:t xml:space="preserve"> </w:t>
      </w:r>
      <w:r w:rsidRPr="001B15E7">
        <w:rPr>
          <w:sz w:val="24"/>
          <w:szCs w:val="24"/>
        </w:rPr>
        <w:t xml:space="preserve">Identification of bioactive </w:t>
      </w:r>
      <w:r>
        <w:rPr>
          <w:sz w:val="24"/>
          <w:szCs w:val="24"/>
        </w:rPr>
        <w:t>novel compounds</w:t>
      </w:r>
      <w:r w:rsidRPr="001B15E7">
        <w:rPr>
          <w:sz w:val="24"/>
          <w:szCs w:val="24"/>
        </w:rPr>
        <w:t xml:space="preserve"> through screening of chromene derivatives.</w:t>
      </w:r>
    </w:p>
    <w:p w14:paraId="72A3D3EC" w14:textId="77777777" w:rsidR="005922AD" w:rsidRPr="00207285" w:rsidRDefault="005922AD" w:rsidP="00284526">
      <w:pPr>
        <w:tabs>
          <w:tab w:val="left" w:pos="-879"/>
          <w:tab w:val="left" w:pos="0"/>
          <w:tab w:val="left" w:pos="788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rPr>
          <w:rFonts w:ascii="Arial" w:hAnsi="Arial" w:cs="Arial"/>
          <w:b/>
          <w:bCs/>
        </w:rPr>
      </w:pPr>
    </w:p>
    <w:p w14:paraId="0D0B940D" w14:textId="1D3F4948" w:rsidR="005922AD" w:rsidRDefault="00C1419E" w:rsidP="00284526">
      <w:pPr>
        <w:pStyle w:val="NormalWeb"/>
        <w:spacing w:before="0" w:beforeAutospacing="0" w:after="120" w:afterAutospacing="0" w:line="28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BA01D3B" wp14:editId="25BA7928">
            <wp:extent cx="5138533" cy="6191250"/>
            <wp:effectExtent l="0" t="0" r="5080" b="0"/>
            <wp:docPr id="791857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11" cy="621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B25DB" w14:textId="6309A599" w:rsidR="00C1419E" w:rsidRDefault="00FC047D" w:rsidP="00284526">
      <w:pPr>
        <w:pStyle w:val="NormalWeb"/>
        <w:spacing w:before="0" w:beforeAutospacing="0" w:after="120" w:afterAutospacing="0" w:line="280" w:lineRule="atLeast"/>
        <w:rPr>
          <w:rFonts w:ascii="Arial" w:hAnsi="Arial" w:cs="Arial"/>
        </w:rPr>
      </w:pPr>
      <w:r w:rsidRPr="00FC047D">
        <w:rPr>
          <w:rFonts w:ascii="Arial" w:hAnsi="Arial" w:cs="Arial"/>
          <w:b/>
          <w:bCs/>
        </w:rPr>
        <w:t>Figure 1.</w:t>
      </w:r>
      <w:r>
        <w:rPr>
          <w:rFonts w:ascii="Arial" w:hAnsi="Arial" w:cs="Arial"/>
        </w:rPr>
        <w:t xml:space="preserve"> </w:t>
      </w:r>
      <w:r w:rsidRPr="00FC047D">
        <w:rPr>
          <w:rFonts w:ascii="Arial" w:hAnsi="Arial" w:cs="Arial"/>
        </w:rPr>
        <w:t xml:space="preserve">(A) Heat-shock (HS)-induced alterations in animals motor behavior are used as a proxy for assessing proteome fitness. At 20°C, the worms move normally with properly folded proteins. When subjected to heat-shock at 37°C, they experience protein unfolding/misfolding and become paralyzed. After returning to 20°C, some worms recover movement, indicating successful protein refolding. This approach enables the identification of potential </w:t>
      </w:r>
      <w:r w:rsidRPr="00FC047D">
        <w:rPr>
          <w:rFonts w:ascii="Arial" w:hAnsi="Arial" w:cs="Arial"/>
        </w:rPr>
        <w:lastRenderedPageBreak/>
        <w:t>therapeutic agents for protein aggregation disorders. (B) Experimental pipeline developed to identify chemical modulators of proteostasis in C. elegans. The methodology involves four critical steps: 1) Chronic exposure of C. elegans to small molecules at various concentrations in a multi-well plate - day 0; 2) Assessment of pre-stress (basal) motor activity at 20ºC for 1 hour using an automated worm movement tracking system that detect worm movement based on the interruption of infrared beams in each well. – day 3; 3) Induction of proteotoxic stress and paralysis by placing the plates in a 37°C incubator; and 4) Monitoring post-HS recovery activity using the automated worm movement tracking system, to determine the compounds’ effectiveness in restoring normal locomotion after the noxious stimulus.</w:t>
      </w:r>
    </w:p>
    <w:p w14:paraId="74E7DED0" w14:textId="77777777" w:rsidR="001B15E7" w:rsidRDefault="001B15E7" w:rsidP="00284526">
      <w:pPr>
        <w:pStyle w:val="NormalWeb"/>
        <w:spacing w:before="0" w:beforeAutospacing="0" w:after="120" w:afterAutospacing="0" w:line="280" w:lineRule="atLeast"/>
        <w:rPr>
          <w:rFonts w:ascii="Arial" w:hAnsi="Arial" w:cs="Arial"/>
        </w:rPr>
      </w:pPr>
    </w:p>
    <w:p w14:paraId="21941482" w14:textId="52C7D0FC" w:rsidR="001B15E7" w:rsidRDefault="001B15E7" w:rsidP="001B15E7">
      <w:pPr>
        <w:pStyle w:val="NormalWeb"/>
        <w:spacing w:before="0" w:beforeAutospacing="0" w:after="120" w:afterAutospacing="0" w:line="280" w:lineRule="atLeast"/>
        <w:jc w:val="center"/>
      </w:pPr>
      <w:r>
        <w:object w:dxaOrig="3581" w:dyaOrig="4682" w14:anchorId="6881B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pt;height:234pt" o:ole="">
            <v:imagedata r:id="rId9" o:title=""/>
          </v:shape>
          <o:OLEObject Type="Embed" ProgID="Prism8.Document" ShapeID="_x0000_i1025" DrawAspect="Content" ObjectID="_1798008200" r:id="rId10"/>
        </w:object>
      </w:r>
    </w:p>
    <w:p w14:paraId="79D29666" w14:textId="2F31AB2A" w:rsidR="001B15E7" w:rsidRPr="00207285" w:rsidRDefault="001B15E7" w:rsidP="001B15E7">
      <w:pPr>
        <w:pStyle w:val="NormalWeb"/>
        <w:spacing w:before="0" w:beforeAutospacing="0" w:after="120" w:afterAutospacing="0" w:line="280" w:lineRule="atLeast"/>
        <w:jc w:val="center"/>
        <w:rPr>
          <w:rFonts w:ascii="Arial" w:hAnsi="Arial" w:cs="Arial"/>
        </w:rPr>
      </w:pPr>
      <w:r w:rsidRPr="001B15E7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2</w:t>
      </w:r>
      <w:r w:rsidRPr="001B15E7">
        <w:rPr>
          <w:rFonts w:ascii="Arial" w:hAnsi="Arial" w:cs="Arial"/>
          <w:b/>
          <w:bCs/>
        </w:rPr>
        <w:t>.</w:t>
      </w:r>
      <w:r w:rsidRPr="001B15E7">
        <w:rPr>
          <w:rFonts w:ascii="Arial" w:hAnsi="Arial" w:cs="Arial"/>
        </w:rPr>
        <w:t xml:space="preserve"> Pie chart showing that </w:t>
      </w:r>
      <w:r>
        <w:rPr>
          <w:rFonts w:ascii="Arial" w:hAnsi="Arial" w:cs="Arial"/>
        </w:rPr>
        <w:t>19</w:t>
      </w:r>
      <w:r w:rsidRPr="001B15E7">
        <w:rPr>
          <w:rFonts w:ascii="Arial" w:hAnsi="Arial" w:cs="Arial"/>
        </w:rPr>
        <w:t xml:space="preserve"> of the screened molecules enhanced recovery</w:t>
      </w:r>
      <w:r>
        <w:rPr>
          <w:rFonts w:ascii="Arial" w:hAnsi="Arial" w:cs="Arial"/>
        </w:rPr>
        <w:t xml:space="preserve"> of the animals</w:t>
      </w:r>
      <w:r w:rsidRPr="001B15E7">
        <w:rPr>
          <w:rFonts w:ascii="Arial" w:hAnsi="Arial" w:cs="Arial"/>
        </w:rPr>
        <w:t>.</w:t>
      </w:r>
    </w:p>
    <w:sectPr w:rsidR="001B15E7" w:rsidRPr="00207285" w:rsidSect="00F27F9D">
      <w:headerReference w:type="default" r:id="rId11"/>
      <w:headerReference w:type="first" r:id="rId12"/>
      <w:pgSz w:w="11906" w:h="16838"/>
      <w:pgMar w:top="1857" w:right="1800" w:bottom="1440" w:left="1800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082CA" w14:textId="77777777" w:rsidR="00B87427" w:rsidRDefault="00B87427" w:rsidP="004C4141">
      <w:r>
        <w:separator/>
      </w:r>
    </w:p>
  </w:endnote>
  <w:endnote w:type="continuationSeparator" w:id="0">
    <w:p w14:paraId="76FABAB0" w14:textId="77777777" w:rsidR="00B87427" w:rsidRDefault="00B87427" w:rsidP="004C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F7AD2" w14:textId="77777777" w:rsidR="00B87427" w:rsidRDefault="00B87427" w:rsidP="004C4141">
      <w:r>
        <w:separator/>
      </w:r>
    </w:p>
  </w:footnote>
  <w:footnote w:type="continuationSeparator" w:id="0">
    <w:p w14:paraId="3995D0F0" w14:textId="77777777" w:rsidR="00B87427" w:rsidRDefault="00B87427" w:rsidP="004C4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22327C3F" w:rsidR="004C4141" w:rsidRPr="009B0B6E" w:rsidRDefault="00F27F9D">
    <w:pPr>
      <w:pStyle w:val="Cabealho"/>
      <w:rPr>
        <w:rFonts w:ascii="Abadi" w:hAnsi="Abadi"/>
      </w:rPr>
    </w:pPr>
    <w:r>
      <w:rPr>
        <w:rFonts w:ascii="Abadi" w:hAnsi="Abadi"/>
        <w:noProof/>
      </w:rPr>
      <w:drawing>
        <wp:anchor distT="0" distB="0" distL="114300" distR="114300" simplePos="0" relativeHeight="251658240" behindDoc="0" locked="0" layoutInCell="1" allowOverlap="1" wp14:anchorId="74D3FBFA" wp14:editId="076E6B69">
          <wp:simplePos x="0" y="0"/>
          <wp:positionH relativeFrom="page">
            <wp:align>right</wp:align>
          </wp:positionH>
          <wp:positionV relativeFrom="paragraph">
            <wp:posOffset>-179705</wp:posOffset>
          </wp:positionV>
          <wp:extent cx="7545705" cy="2259965"/>
          <wp:effectExtent l="0" t="0" r="0" b="6985"/>
          <wp:wrapTopAndBottom/>
          <wp:docPr id="4307497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225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C4E5D" w14:textId="2DBEB7C0" w:rsidR="00F27F9D" w:rsidRDefault="00F27F9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5C21D2" wp14:editId="24254CAA">
          <wp:simplePos x="0" y="0"/>
          <wp:positionH relativeFrom="page">
            <wp:posOffset>6350</wp:posOffset>
          </wp:positionH>
          <wp:positionV relativeFrom="paragraph">
            <wp:posOffset>-179705</wp:posOffset>
          </wp:positionV>
          <wp:extent cx="7543800" cy="2263140"/>
          <wp:effectExtent l="0" t="0" r="0" b="3810"/>
          <wp:wrapTopAndBottom/>
          <wp:docPr id="1428965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96584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26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3E4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BA622A3"/>
    <w:multiLevelType w:val="hybridMultilevel"/>
    <w:tmpl w:val="9A5E7C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11D73"/>
    <w:multiLevelType w:val="multilevel"/>
    <w:tmpl w:val="08EED948"/>
    <w:lvl w:ilvl="0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215691">
    <w:abstractNumId w:val="0"/>
  </w:num>
  <w:num w:numId="2" w16cid:durableId="1208765041">
    <w:abstractNumId w:val="0"/>
  </w:num>
  <w:num w:numId="3" w16cid:durableId="1750348184">
    <w:abstractNumId w:val="0"/>
  </w:num>
  <w:num w:numId="4" w16cid:durableId="1458136840">
    <w:abstractNumId w:val="0"/>
  </w:num>
  <w:num w:numId="5" w16cid:durableId="1517619183">
    <w:abstractNumId w:val="1"/>
  </w:num>
  <w:num w:numId="6" w16cid:durableId="208236619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S0NDe2MDUzNjMyMrZU0lEKTi0uzszPAykwrAUA8Q6wOiwAAAA="/>
  </w:docVars>
  <w:rsids>
    <w:rsidRoot w:val="000B1A9F"/>
    <w:rsid w:val="00034E58"/>
    <w:rsid w:val="00035D17"/>
    <w:rsid w:val="000749DC"/>
    <w:rsid w:val="000B1A9F"/>
    <w:rsid w:val="000B1CB6"/>
    <w:rsid w:val="00104C64"/>
    <w:rsid w:val="00153B31"/>
    <w:rsid w:val="001A5D1D"/>
    <w:rsid w:val="001B15E7"/>
    <w:rsid w:val="001C48EA"/>
    <w:rsid w:val="001E69F5"/>
    <w:rsid w:val="001F0A40"/>
    <w:rsid w:val="001F3F9D"/>
    <w:rsid w:val="00207285"/>
    <w:rsid w:val="00231D73"/>
    <w:rsid w:val="00245841"/>
    <w:rsid w:val="002464D1"/>
    <w:rsid w:val="00277823"/>
    <w:rsid w:val="00284526"/>
    <w:rsid w:val="00296641"/>
    <w:rsid w:val="002B7B42"/>
    <w:rsid w:val="002D138F"/>
    <w:rsid w:val="002D7855"/>
    <w:rsid w:val="0031481B"/>
    <w:rsid w:val="00326102"/>
    <w:rsid w:val="00361FCC"/>
    <w:rsid w:val="0039255A"/>
    <w:rsid w:val="0039260D"/>
    <w:rsid w:val="00394433"/>
    <w:rsid w:val="003A501D"/>
    <w:rsid w:val="003F262A"/>
    <w:rsid w:val="00446818"/>
    <w:rsid w:val="004A33C6"/>
    <w:rsid w:val="004C4141"/>
    <w:rsid w:val="004E2843"/>
    <w:rsid w:val="00516EFF"/>
    <w:rsid w:val="005922AD"/>
    <w:rsid w:val="005E76FD"/>
    <w:rsid w:val="006125DC"/>
    <w:rsid w:val="006B6FAB"/>
    <w:rsid w:val="006E361C"/>
    <w:rsid w:val="006E7A20"/>
    <w:rsid w:val="007042F7"/>
    <w:rsid w:val="007634E7"/>
    <w:rsid w:val="007B4FAF"/>
    <w:rsid w:val="008276D8"/>
    <w:rsid w:val="0083030E"/>
    <w:rsid w:val="008772F6"/>
    <w:rsid w:val="008802E5"/>
    <w:rsid w:val="00893A0F"/>
    <w:rsid w:val="008948C8"/>
    <w:rsid w:val="008B4649"/>
    <w:rsid w:val="008D6431"/>
    <w:rsid w:val="00937D69"/>
    <w:rsid w:val="009B0B6E"/>
    <w:rsid w:val="009D2BEA"/>
    <w:rsid w:val="00A3052F"/>
    <w:rsid w:val="00A36837"/>
    <w:rsid w:val="00A77696"/>
    <w:rsid w:val="00AA2643"/>
    <w:rsid w:val="00B3470C"/>
    <w:rsid w:val="00B87427"/>
    <w:rsid w:val="00BC6E2C"/>
    <w:rsid w:val="00BE3671"/>
    <w:rsid w:val="00BF0E23"/>
    <w:rsid w:val="00C01152"/>
    <w:rsid w:val="00C1419E"/>
    <w:rsid w:val="00C568B5"/>
    <w:rsid w:val="00C9235E"/>
    <w:rsid w:val="00CC6A9C"/>
    <w:rsid w:val="00CE46C7"/>
    <w:rsid w:val="00CF2AFB"/>
    <w:rsid w:val="00D13755"/>
    <w:rsid w:val="00DB5EA5"/>
    <w:rsid w:val="00DE1396"/>
    <w:rsid w:val="00E007D3"/>
    <w:rsid w:val="00E433DD"/>
    <w:rsid w:val="00F1305A"/>
    <w:rsid w:val="00F27F9D"/>
    <w:rsid w:val="00F31A52"/>
    <w:rsid w:val="00F427DF"/>
    <w:rsid w:val="00F436CF"/>
    <w:rsid w:val="00F44518"/>
    <w:rsid w:val="00F516E2"/>
    <w:rsid w:val="00F64023"/>
    <w:rsid w:val="00F7340F"/>
    <w:rsid w:val="00F84B33"/>
    <w:rsid w:val="00FC047D"/>
    <w:rsid w:val="00FE6BE5"/>
    <w:rsid w:val="00FF6B52"/>
    <w:rsid w:val="755D3C58"/>
    <w:rsid w:val="77D5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12EEB7C0"/>
  <w15:docId w15:val="{BA10AE91-A7EE-4F2B-8244-FC243320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Ttulo1">
    <w:name w:val="heading 1"/>
    <w:basedOn w:val="Normal"/>
    <w:next w:val="IWAFirstparagraph"/>
    <w:qFormat/>
    <w:pPr>
      <w:keepNext/>
      <w:suppressLineNumbers/>
      <w:tabs>
        <w:tab w:val="left" w:pos="414"/>
      </w:tabs>
      <w:overflowPunct w:val="0"/>
      <w:autoSpaceDE w:val="0"/>
      <w:autoSpaceDN w:val="0"/>
      <w:adjustRightInd w:val="0"/>
      <w:spacing w:before="320" w:after="120" w:line="320" w:lineRule="atLeast"/>
      <w:ind w:left="420" w:hanging="420"/>
      <w:textAlignment w:val="baseline"/>
      <w:outlineLvl w:val="0"/>
    </w:pPr>
    <w:rPr>
      <w:rFonts w:ascii="Arial" w:hAnsi="Arial" w:cs="Arial"/>
      <w:b/>
      <w:bCs/>
      <w:kern w:val="28"/>
    </w:rPr>
  </w:style>
  <w:style w:type="paragraph" w:styleId="Ttulo2">
    <w:name w:val="heading 2"/>
    <w:basedOn w:val="Normal"/>
    <w:next w:val="IWAFirstparagraph"/>
    <w:qFormat/>
    <w:pPr>
      <w:keepNext/>
      <w:suppressLineNumbers/>
      <w:tabs>
        <w:tab w:val="left" w:pos="634"/>
      </w:tabs>
      <w:overflowPunct w:val="0"/>
      <w:autoSpaceDE w:val="0"/>
      <w:autoSpaceDN w:val="0"/>
      <w:adjustRightInd w:val="0"/>
      <w:spacing w:before="280" w:after="80" w:line="320" w:lineRule="exact"/>
      <w:ind w:left="634" w:hanging="634"/>
      <w:textAlignment w:val="baseline"/>
      <w:outlineLvl w:val="1"/>
    </w:pPr>
    <w:rPr>
      <w:rFonts w:ascii="Arial" w:hAnsi="Arial" w:cs="Arial"/>
      <w:b/>
      <w:bCs/>
      <w:sz w:val="22"/>
      <w:szCs w:val="22"/>
    </w:rPr>
  </w:style>
  <w:style w:type="paragraph" w:styleId="Ttulo3">
    <w:name w:val="heading 3"/>
    <w:basedOn w:val="Normal"/>
    <w:next w:val="IWAFirstparagraph"/>
    <w:qFormat/>
    <w:pPr>
      <w:keepNext/>
      <w:suppressLineNumbers/>
      <w:tabs>
        <w:tab w:val="left" w:pos="794"/>
      </w:tabs>
      <w:overflowPunct w:val="0"/>
      <w:autoSpaceDE w:val="0"/>
      <w:autoSpaceDN w:val="0"/>
      <w:adjustRightInd w:val="0"/>
      <w:spacing w:before="240" w:after="60" w:line="240" w:lineRule="atLeast"/>
      <w:ind w:left="794" w:hanging="794"/>
      <w:textAlignment w:val="baseline"/>
      <w:outlineLvl w:val="2"/>
    </w:pPr>
    <w:rPr>
      <w:rFonts w:ascii="Arial" w:hAnsi="Arial" w:cs="Arial"/>
      <w:i/>
      <w:iCs/>
      <w:sz w:val="22"/>
      <w:szCs w:val="22"/>
    </w:rPr>
  </w:style>
  <w:style w:type="paragraph" w:styleId="Ttulo4">
    <w:name w:val="heading 4"/>
    <w:basedOn w:val="Ttulo3"/>
    <w:next w:val="IWAFirstparagraph"/>
    <w:qFormat/>
    <w:pPr>
      <w:outlineLvl w:val="3"/>
    </w:pPr>
    <w:rPr>
      <w:b/>
      <w:bCs/>
      <w:i w:val="0"/>
      <w:iCs w:val="0"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Arial"/>
      <w:b/>
      <w:bCs/>
      <w:sz w:val="40"/>
      <w:szCs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WAKeyword">
    <w:name w:val="(IWA) Keyword"/>
    <w:basedOn w:val="Normal"/>
    <w:next w:val="Ttulo1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customStyle="1" w:styleId="References">
    <w:name w:val="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18"/>
      <w:szCs w:val="18"/>
    </w:rPr>
  </w:style>
  <w:style w:type="paragraph" w:customStyle="1" w:styleId="IWAReferences">
    <w:name w:val="(IWA) References"/>
    <w:basedOn w:val="Normal"/>
    <w:pPr>
      <w:suppressLineNumbers/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ascii="Arial" w:hAnsi="Arial" w:cs="Arial"/>
      <w:sz w:val="18"/>
      <w:szCs w:val="18"/>
    </w:rPr>
  </w:style>
  <w:style w:type="paragraph" w:customStyle="1" w:styleId="IWAPaperTitle">
    <w:name w:val="(IWA) Paper Title"/>
    <w:basedOn w:val="Normal"/>
    <w:uiPriority w:val="99"/>
    <w:pPr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IWANormalParagraph">
    <w:name w:val="(IWA) Normal Paragraph"/>
    <w:basedOn w:val="Primeiroavanodecorpodetexto"/>
    <w:uiPriority w:val="99"/>
    <w:rPr>
      <w:rFonts w:ascii="Arial" w:hAnsi="Arial" w:cs="Arial"/>
      <w:sz w:val="22"/>
      <w:szCs w:val="22"/>
    </w:rPr>
  </w:style>
  <w:style w:type="paragraph" w:customStyle="1" w:styleId="IWAFirstparagraph">
    <w:name w:val="(IWA) First paragraph"/>
    <w:basedOn w:val="Normal"/>
    <w:next w:val="Normal"/>
    <w:uiPriority w:val="99"/>
    <w:pPr>
      <w:suppressLineNumbers/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IWAAuthornames">
    <w:name w:val="(IWA) Author name(s)"/>
    <w:basedOn w:val="Normal"/>
    <w:next w:val="IWAAuthoraddress"/>
    <w:pPr>
      <w:suppressLineNumbers/>
      <w:suppressAutoHyphens/>
      <w:overflowPunct w:val="0"/>
      <w:autoSpaceDE w:val="0"/>
      <w:autoSpaceDN w:val="0"/>
      <w:adjustRightInd w:val="0"/>
      <w:spacing w:after="120" w:line="240" w:lineRule="atLeast"/>
      <w:jc w:val="center"/>
      <w:textAlignment w:val="baseline"/>
    </w:pPr>
    <w:rPr>
      <w:rFonts w:ascii="Arial" w:hAnsi="Arial" w:cs="Arial"/>
      <w:sz w:val="20"/>
      <w:szCs w:val="20"/>
    </w:rPr>
  </w:style>
  <w:style w:type="paragraph" w:customStyle="1" w:styleId="IWAAuthoraddress">
    <w:name w:val="(IWA) 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jc w:val="center"/>
      <w:textAlignment w:val="baseline"/>
    </w:pPr>
    <w:rPr>
      <w:rFonts w:ascii="Arial" w:hAnsi="Arial" w:cs="Arial"/>
      <w:sz w:val="18"/>
      <w:szCs w:val="18"/>
    </w:rPr>
  </w:style>
  <w:style w:type="paragraph" w:styleId="Rodap">
    <w:name w:val="footer"/>
    <w:basedOn w:val="Normal"/>
    <w:pPr>
      <w:suppressLineNumbers/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sz w:val="22"/>
      <w:szCs w:val="22"/>
    </w:rPr>
  </w:style>
  <w:style w:type="paragraph" w:styleId="Avanonormal">
    <w:name w:val="Normal Indent"/>
    <w:basedOn w:val="Normal"/>
    <w:pPr>
      <w:ind w:left="720"/>
    </w:pPr>
  </w:style>
  <w:style w:type="paragraph" w:customStyle="1" w:styleId="IWAFigureTableLegend">
    <w:name w:val="(IWA) Figure/Table Legend"/>
    <w:basedOn w:val="Normal"/>
    <w:uiPriority w:val="99"/>
    <w:rPr>
      <w:rFonts w:ascii="Arial" w:hAnsi="Arial" w:cs="Arial"/>
      <w:sz w:val="18"/>
      <w:szCs w:val="18"/>
    </w:rPr>
  </w:style>
  <w:style w:type="paragraph" w:customStyle="1" w:styleId="IWAHeading">
    <w:name w:val="(IWA) Heading"/>
    <w:basedOn w:val="Normal"/>
    <w:rPr>
      <w:rFonts w:ascii="Arial" w:hAnsi="Arial" w:cs="Arial"/>
      <w:b/>
      <w:bCs/>
    </w:rPr>
  </w:style>
  <w:style w:type="paragraph" w:customStyle="1" w:styleId="IWASub-heading">
    <w:name w:val="(IWA) Sub-heading"/>
    <w:basedOn w:val="Avanonormal"/>
    <w:rPr>
      <w:rFonts w:ascii="Arial" w:hAnsi="Arial" w:cs="Arial"/>
      <w:b/>
      <w:bCs/>
      <w:sz w:val="22"/>
      <w:szCs w:val="22"/>
    </w:rPr>
  </w:style>
  <w:style w:type="paragraph" w:styleId="Corpodetexto">
    <w:name w:val="Body Text"/>
    <w:basedOn w:val="Normal"/>
    <w:pPr>
      <w:spacing w:after="120"/>
    </w:pPr>
  </w:style>
  <w:style w:type="paragraph" w:styleId="Primeiroavanodecorpodetexto">
    <w:name w:val="Body Text First Indent"/>
    <w:basedOn w:val="Corpodetexto"/>
    <w:pPr>
      <w:ind w:firstLine="210"/>
    </w:pPr>
  </w:style>
  <w:style w:type="paragraph" w:customStyle="1" w:styleId="ListNumber1">
    <w:name w:val="List Number1"/>
    <w:basedOn w:val="Listacommarcas"/>
    <w:pPr>
      <w:suppressLineNumbers/>
      <w:tabs>
        <w:tab w:val="left" w:pos="648"/>
      </w:tabs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sz w:val="20"/>
      <w:szCs w:val="20"/>
    </w:rPr>
  </w:style>
  <w:style w:type="paragraph" w:customStyle="1" w:styleId="Authornames">
    <w:name w:val="Author name(s)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before="240" w:after="120" w:line="240" w:lineRule="exact"/>
      <w:textAlignment w:val="baseline"/>
    </w:pPr>
    <w:rPr>
      <w:rFonts w:ascii="Arial" w:hAnsi="Arial" w:cs="Arial"/>
      <w:b/>
      <w:bCs/>
      <w:sz w:val="20"/>
      <w:szCs w:val="20"/>
    </w:rPr>
  </w:style>
  <w:style w:type="paragraph" w:customStyle="1" w:styleId="Authoraddress">
    <w:name w:val="Author address"/>
    <w:basedOn w:val="Normal"/>
    <w:next w:val="Normal"/>
    <w:uiPriority w:val="99"/>
    <w:pPr>
      <w:suppressLineNumbers/>
      <w:suppressAutoHyphens/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Arial" w:hAnsi="Arial" w:cs="Arial"/>
      <w:sz w:val="18"/>
      <w:szCs w:val="18"/>
    </w:rPr>
  </w:style>
  <w:style w:type="paragraph" w:styleId="Listacommarcas">
    <w:name w:val="List Bullet"/>
    <w:basedOn w:val="Normal"/>
    <w:autoRedefine/>
    <w:pPr>
      <w:ind w:left="648" w:hanging="360"/>
    </w:pPr>
  </w:style>
  <w:style w:type="paragraph" w:customStyle="1" w:styleId="Heading3a">
    <w:name w:val="Heading 3a"/>
    <w:basedOn w:val="Ttulo3"/>
    <w:next w:val="Normal"/>
    <w:pPr>
      <w:spacing w:before="0" w:line="240" w:lineRule="exact"/>
      <w:outlineLvl w:val="9"/>
    </w:pPr>
    <w:rPr>
      <w:rFonts w:cs="Times New Roman"/>
      <w:iCs w:val="0"/>
      <w:sz w:val="20"/>
      <w:szCs w:val="20"/>
    </w:rPr>
  </w:style>
  <w:style w:type="paragraph" w:customStyle="1" w:styleId="Tabletitle">
    <w:name w:val="Table title"/>
    <w:basedOn w:val="Normal"/>
    <w:next w:val="Normal"/>
    <w:uiPriority w:val="99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160" w:after="120" w:line="200" w:lineRule="exact"/>
      <w:jc w:val="both"/>
      <w:textAlignment w:val="baseline"/>
    </w:pPr>
    <w:rPr>
      <w:rFonts w:ascii="Arial" w:hAnsi="Arial"/>
      <w:sz w:val="18"/>
      <w:szCs w:val="20"/>
    </w:rPr>
  </w:style>
  <w:style w:type="paragraph" w:styleId="NormalWeb">
    <w:name w:val="Normal (Web)"/>
    <w:basedOn w:val="Normal"/>
    <w:uiPriority w:val="99"/>
    <w:unhideWhenUsed/>
    <w:rsid w:val="00FE6BE5"/>
    <w:pPr>
      <w:spacing w:before="100" w:beforeAutospacing="1" w:after="100" w:afterAutospacing="1"/>
    </w:pPr>
    <w:rPr>
      <w:lang w:eastAsia="en-GB"/>
    </w:rPr>
  </w:style>
  <w:style w:type="paragraph" w:customStyle="1" w:styleId="IWAFigure">
    <w:name w:val="(IWA) Figure"/>
    <w:basedOn w:val="Normal"/>
    <w:rsid w:val="005E76FD"/>
    <w:pPr>
      <w:spacing w:before="240" w:after="120"/>
      <w:jc w:val="center"/>
    </w:pPr>
    <w:rPr>
      <w:rFonts w:ascii="Arial" w:hAnsi="Arial"/>
      <w:sz w:val="22"/>
    </w:rPr>
  </w:style>
  <w:style w:type="character" w:customStyle="1" w:styleId="IWATableFigureheadingZchn">
    <w:name w:val="(IWA) Table/Figure heading Zchn"/>
    <w:link w:val="IWATableFigureheading"/>
    <w:locked/>
    <w:rsid w:val="005E76FD"/>
    <w:rPr>
      <w:rFonts w:ascii="Arial" w:hAnsi="Arial" w:cs="Arial"/>
      <w:bCs/>
      <w:sz w:val="18"/>
      <w:lang w:val="en-GB"/>
    </w:rPr>
  </w:style>
  <w:style w:type="paragraph" w:customStyle="1" w:styleId="IWATableFigureheading">
    <w:name w:val="(IWA) Table/Figure heading"/>
    <w:basedOn w:val="Normal"/>
    <w:link w:val="IWATableFigureheadingZchn"/>
    <w:rsid w:val="005E76FD"/>
    <w:pPr>
      <w:keepNext/>
      <w:keepLines/>
      <w:widowControl w:val="0"/>
      <w:suppressLineNumbers/>
      <w:overflowPunct w:val="0"/>
      <w:autoSpaceDE w:val="0"/>
      <w:autoSpaceDN w:val="0"/>
      <w:adjustRightInd w:val="0"/>
      <w:spacing w:before="240" w:after="120" w:line="200" w:lineRule="exact"/>
      <w:jc w:val="both"/>
    </w:pPr>
    <w:rPr>
      <w:rFonts w:ascii="Arial" w:hAnsi="Arial" w:cs="Arial"/>
      <w:bCs/>
      <w:sz w:val="18"/>
      <w:szCs w:val="20"/>
    </w:rPr>
  </w:style>
  <w:style w:type="paragraph" w:styleId="Cabealho">
    <w:name w:val="header"/>
    <w:basedOn w:val="Normal"/>
    <w:link w:val="CabealhoCarter"/>
    <w:uiPriority w:val="99"/>
    <w:rsid w:val="004C4141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link w:val="Cabealho"/>
    <w:uiPriority w:val="99"/>
    <w:rsid w:val="004C4141"/>
    <w:rPr>
      <w:sz w:val="24"/>
      <w:szCs w:val="24"/>
      <w:lang w:val="en-GB" w:eastAsia="en-US"/>
    </w:rPr>
  </w:style>
  <w:style w:type="paragraph" w:styleId="Textodebalo">
    <w:name w:val="Balloon Text"/>
    <w:basedOn w:val="Normal"/>
    <w:link w:val="TextodebaloCarter"/>
    <w:rsid w:val="004C414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4C4141"/>
    <w:rPr>
      <w:rFonts w:ascii="Tahoma" w:hAnsi="Tahoma" w:cs="Tahoma"/>
      <w:sz w:val="16"/>
      <w:szCs w:val="16"/>
      <w:lang w:val="en-GB" w:eastAsia="en-US"/>
    </w:rPr>
  </w:style>
  <w:style w:type="paragraph" w:styleId="Reviso">
    <w:name w:val="Revision"/>
    <w:hidden/>
    <w:uiPriority w:val="99"/>
    <w:semiHidden/>
    <w:rsid w:val="000B1CB6"/>
    <w:rPr>
      <w:sz w:val="24"/>
      <w:szCs w:val="24"/>
      <w:lang w:val="en-GB" w:eastAsia="en-US"/>
    </w:rPr>
  </w:style>
  <w:style w:type="character" w:styleId="Refdecomentrio">
    <w:name w:val="annotation reference"/>
    <w:basedOn w:val="Tipodeletrapredefinidodopargrafo"/>
    <w:semiHidden/>
    <w:unhideWhenUsed/>
    <w:rsid w:val="000B1CB6"/>
    <w:rPr>
      <w:sz w:val="16"/>
      <w:szCs w:val="16"/>
    </w:rPr>
  </w:style>
  <w:style w:type="paragraph" w:styleId="Textodecomentrio">
    <w:name w:val="annotation text"/>
    <w:basedOn w:val="Normal"/>
    <w:link w:val="TextodecomentrioCarter"/>
    <w:unhideWhenUsed/>
    <w:rsid w:val="000B1CB6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B1CB6"/>
    <w:rPr>
      <w:lang w:val="en-GB"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semiHidden/>
    <w:unhideWhenUsed/>
    <w:rsid w:val="000B1CB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semiHidden/>
    <w:rsid w:val="000B1CB6"/>
    <w:rPr>
      <w:b/>
      <w:bCs/>
      <w:lang w:val="en-GB" w:eastAsia="en-US"/>
    </w:rPr>
  </w:style>
  <w:style w:type="character" w:styleId="Hiperligao">
    <w:name w:val="Hyperlink"/>
    <w:basedOn w:val="Tipodeletrapredefinidodopargrafo"/>
    <w:unhideWhenUsed/>
    <w:rsid w:val="00296641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96641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semiHidden/>
    <w:unhideWhenUsed/>
    <w:rsid w:val="002966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71E6F-A6BF-4757-A252-08EDE190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777</Words>
  <Characters>4197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>International Water Association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Joe Royle</dc:creator>
  <cp:keywords/>
  <cp:lastModifiedBy>Daniela Vilas Boas da Silva Campos</cp:lastModifiedBy>
  <cp:revision>3</cp:revision>
  <dcterms:created xsi:type="dcterms:W3CDTF">2025-01-09T23:36:00Z</dcterms:created>
  <dcterms:modified xsi:type="dcterms:W3CDTF">2025-01-10T09:57:00Z</dcterms:modified>
</cp:coreProperties>
</file>